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思政课教师专业技术职务聘任赋分标准</w:t>
      </w:r>
    </w:p>
    <w:bookmarkEnd w:id="0"/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一、综合表现（满分</w:t>
      </w:r>
      <w:r>
        <w:rPr>
          <w:rFonts w:ascii="黑体" w:hAnsi="黑体" w:eastAsia="黑体"/>
          <w:bCs/>
          <w:sz w:val="32"/>
          <w:szCs w:val="32"/>
        </w:rPr>
        <w:t>100</w:t>
      </w:r>
      <w:r>
        <w:rPr>
          <w:rFonts w:hint="eastAsia" w:ascii="黑体" w:hAnsi="黑体" w:eastAsia="黑体"/>
          <w:bCs/>
          <w:sz w:val="32"/>
          <w:szCs w:val="32"/>
        </w:rPr>
        <w:t>分）</w:t>
      </w:r>
    </w:p>
    <w:tbl>
      <w:tblPr>
        <w:tblStyle w:val="2"/>
        <w:tblW w:w="15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68"/>
        <w:gridCol w:w="1176"/>
        <w:gridCol w:w="2632"/>
        <w:gridCol w:w="1069"/>
        <w:gridCol w:w="1069"/>
        <w:gridCol w:w="1070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评分要素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满分分值</w:t>
            </w:r>
          </w:p>
        </w:tc>
        <w:tc>
          <w:tcPr>
            <w:tcW w:w="263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评分依据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评分标准</w:t>
            </w:r>
          </w:p>
        </w:tc>
        <w:tc>
          <w:tcPr>
            <w:tcW w:w="627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3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优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一般</w:t>
            </w:r>
          </w:p>
        </w:tc>
        <w:tc>
          <w:tcPr>
            <w:tcW w:w="627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师德师风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（40分）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政治思想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拥护党的领导，贯彻党的教育方针，积极参加集体活动和学习。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1.参加集体活动次数及表现；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2.参加政治或业务学习次数及表现。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职业道德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爱岗敬业，潜心教书育人，讲好思政课，工作得到同事和学生的一致好评。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1.学生满意度；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2.同事满意度；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劳动纪律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模范遵守学院规章制度，出满勤。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1.正常出勤情况；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2.加班工作情况。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职业素养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（60分）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团队协作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融入团队，积极承担专项和临时工作，为领导分担责任，帮同事解决问题。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1.领导安排工作接受及完成情况；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2.与同事合作完成工作情况。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积极参加实践锻炼和专业能力培训，不断提高能力水平。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企业实践每累计30天加1.5分；参加国家、省、院三级思政课教师、专业培训和研修的，0.1分/天；取得与任职资格相对应的职业资格等级证书或技能证书加2分；取得与专业有关的进修、研修、培训毕（结）业证书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综合奖励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多次获得校级及以上奖励或获评各类人才称号。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国家、省和学院等各级部门授予的荣誉称号。国家级：由国务院授予的，或中共中央组织、国家人社部与教育部等部委联合授予的荣誉称号；省级：由省政府授予的，或省委组织部、省人社厅与省级主管部门等联合授予的荣誉称号；市厅级：由省厅单独授予的、市政府授予的，或市人社局与市级主管部门等联合授予的荣誉称号。院级：由学院表彰的先进个人、优秀教师、优秀工作者、优秀党员等。主要观测奖励级别和奖励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特殊贡献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为学院教育发展和教学改革做出重大贡献，推动了学院全局工作的发展，并取得了明显的标志性成果。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15-20分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8-14分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1-7分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志性成果指国家级政府成果一、二等奖的主持人、省政府科学技术奖和发明奖一等奖的主持人和主要执笔者；学院重大项目建设指示范院、双高、特高、资源库等工作；专项工作指虚拟仿真、省级及以上实验室或创新平台等；专业群建设是指专业群带头人、专业带头人、教研室主任等；教师发展指省级以上名师、省“百千万人才工程”中的人才、优秀教学团队等。主要观测在标志性业绩成果、重大项目、专项工作中的角色、在专业群建设中的角色和教师发展中的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100</w:t>
            </w:r>
          </w:p>
        </w:tc>
        <w:tc>
          <w:tcPr>
            <w:tcW w:w="1211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二、工作业绩（满分</w:t>
      </w:r>
      <w:r>
        <w:rPr>
          <w:rFonts w:ascii="黑体" w:hAnsi="黑体" w:eastAsia="黑体"/>
          <w:bCs/>
          <w:sz w:val="32"/>
          <w:szCs w:val="32"/>
        </w:rPr>
        <w:t>100</w:t>
      </w:r>
      <w:r>
        <w:rPr>
          <w:rFonts w:hint="eastAsia" w:ascii="黑体" w:hAnsi="黑体" w:eastAsia="黑体"/>
          <w:bCs/>
          <w:sz w:val="32"/>
          <w:szCs w:val="32"/>
        </w:rPr>
        <w:t>分）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1178"/>
        <w:gridCol w:w="5698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教学工作量及教学评价效果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超工作量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教师超工作量由各教学单位核定。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由教学联合党总支评审委员会赋分。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教学评价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教学评价优秀3分/年，良好1分/年。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1.以教学诊断与改进办公室和教务处提供数据为准；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2.年度教学质量不合格者取消聘任资格。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资历资格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（4分）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资历资格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获得聘任等级的专业技术资格0.5分/年。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由人事处认定。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管理素养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（6分）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学生管理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改革前担任班主任及2020年后担任职业导师工作年度考核基本称职以上者0.5分/班/年。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由学生处提供年限及考核结果。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行政管理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担任教学管理、科研管理、党务管理或综合管理工作的干部年度考核合格者0.5分/年。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担任教学、科研、党务或综合管理工作的干部，系指中层副职以上干部、机关及系部二级管理职务的人员。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学术素养及工作业绩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（70分）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论文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国际特刊及权威核心刊物（《SCIENCE》、《NATURE》或SCIE、EI、ISTP、SSCI以及A&amp;HCI）10分/篇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全国中文核心期刊5分/篇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一般期刊1分/篇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1.多名作者的，第一作者按100%，第二作者按60%，第三作者按20%，其他作者按10%计分；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2.独立作者按120%计分；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3.通讯作者等同于第一作者；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4.核心期刊对照发表当年《全国中文期刊目录》界定；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5.内刊、增刊、专辑、论文集等上发表论文无效；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6.录用证明或出版证明无效；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7.四大检索需提供由政府部门认定的检索证明；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8.自然科学类四大检索论文按120%计分；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教材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国家级规划教材10分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省部级规划教材7分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一般出版教材4分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1.主编按100%赋分，副主编按50%赋分，参编按20%赋分；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2.主审按50%赋分；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3.专著20万字以上按国家级教材150%赋分，15-20万字按国家级教材120%赋分；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4.文学作品20万字以上按一般教材120%赋分，20万字以下按一般教材赋分（文学专业按省级教材计分）；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5.编著和译著等同于省级规划教材；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6.已出版的科普类类按一般教材50%赋分；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7.画册、诗词歌赋类由评审组根据影响力酌情赋分，由宣传统战部认定，总分最多不超过2分。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结题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国家级20分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省部级10分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市厅级4分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院级2分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1.获得一等奖100%，二等奖85%，三等奖70%，优秀奖50%计分，获奖不分等级的按同级别二等奖计分；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5.成果应为本专业或工作领域内方可有效；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6.非政府奖项按对应等级的35%计分。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10.党建课题和重点课题按120%计分；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11.子项目按该等级的60%计分；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12.国家示范院建设、国家“双高”、省“双高”等重大项目执笔人与项目主持人同等赋分。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竞赛获奖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教师参赛或指导学生参加各类竞赛，一等/二等/三等分别赋分：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国家级：10/8/6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  级：5/3.5/2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  级：1/0.5/0.2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1.行业、协会类竞赛按同级别60%计分；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2.教师团队参赛：主持人/第一参与人/其他参与人分别按总分的100%/60%/30%计分；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3.同届同项比赛获二次以上奖项，除最高分外，其他奖项按20%计分；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4.优秀奖按下一级别一等奖计分；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5.担任国家、省、市竞赛评委（裁判）的，按相应级别一等奖计分；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6.参加各类比赛必须由学院相关职能部门安排参加，否则不予计分。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专业、课程、团队建设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担任教研室主任同时兼任专业带头人的，年度考核合格者0.75分/年，担任其中之一的，年度考核合格者0.5分/年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国家级5分，省级3.5分，院级：1分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以老带新评价合格者1分/人（最多2分）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教研室主任和专业带头人考核结果及担任年限由教务处提供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国家级建设项目包括：国家“双高”建设项目、国家级精品课程、国家级精品资源共享课、国家优秀教学团队等。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省级建设项目：省“双高”建设项目、省级精品课程、辽宁省优秀教学团队等。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院级建设项目：精品课程、优秀教学团队等。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所有项目由教务处和教师发展中心认定为准。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未在目录上酌情比照等级赋分；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主持人按100%，第一参与人按80%，第二参与人按60%，其他参与人按20%赋分。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专业论证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参与新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sz w:val="18"/>
                <w:szCs w:val="18"/>
              </w:rPr>
              <w:t>人才培养方案制定的1分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1.因人才培养模式改革，需重新修订人才培养方案按新专业论证的60%赋分；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2.由教务处认证为准。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创新创业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社会服务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个人或带领学生开展公益活动，0.1/次；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其他社会服务每天0.1分。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1.以媒体报道或思政部认定为准；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2.其他社会服务需要提供相关佐证；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3.以相关职能部门认定为准。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4071"/>
    <w:rsid w:val="72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2020-09-30T06:59:00Z</dcterms:created>
  <dc:creator>Liy</dc:creator>
  <cp:lastModifiedBy>Liy</cp:lastModifiedBy>
  <dcterms:modified xsi:type="dcterms:W3CDTF">2020-09-30T06:59:35Z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