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附件6：</w:t>
      </w:r>
    </w:p>
    <w:p>
      <w:pPr>
        <w:jc w:val="center"/>
        <w:rPr>
          <w:rFonts w:hint="eastAsia" w:ascii="方正小标宋简体" w:hAnsi="Calibri" w:eastAsia="方正小标宋简体"/>
          <w:bCs/>
          <w:sz w:val="32"/>
          <w:szCs w:val="40"/>
        </w:rPr>
      </w:pPr>
      <w:bookmarkStart w:id="0" w:name="_GoBack"/>
      <w:r>
        <w:rPr>
          <w:rFonts w:hint="eastAsia" w:ascii="方正小标宋简体" w:hAnsi="Calibri" w:eastAsia="方正小标宋简体"/>
          <w:bCs/>
          <w:sz w:val="32"/>
          <w:szCs w:val="40"/>
        </w:rPr>
        <w:t>其他（农业、实验、会计、工程、图书等）系列专业技术职务聘任赋分标准</w:t>
      </w:r>
      <w:bookmarkEnd w:id="0"/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一、综合表现（满分100分）</w:t>
      </w:r>
    </w:p>
    <w:tbl>
      <w:tblPr>
        <w:tblStyle w:val="2"/>
        <w:tblW w:w="15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68"/>
        <w:gridCol w:w="1176"/>
        <w:gridCol w:w="2632"/>
        <w:gridCol w:w="1069"/>
        <w:gridCol w:w="1069"/>
        <w:gridCol w:w="1070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一级指标</w:t>
            </w: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评分要素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满分分值</w:t>
            </w:r>
          </w:p>
        </w:tc>
        <w:tc>
          <w:tcPr>
            <w:tcW w:w="263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评分依据</w:t>
            </w:r>
          </w:p>
        </w:tc>
        <w:tc>
          <w:tcPr>
            <w:tcW w:w="320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评分标准</w:t>
            </w:r>
          </w:p>
        </w:tc>
        <w:tc>
          <w:tcPr>
            <w:tcW w:w="627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3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优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良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一般</w:t>
            </w:r>
          </w:p>
        </w:tc>
        <w:tc>
          <w:tcPr>
            <w:tcW w:w="627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师德师风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（50分）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政治思想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拥护党的领导，贯彻党的教育方针，积极参加集体活动和学习。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15－20分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8－14分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1－7分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1.参加集体活动次数及表现；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2.参加政治或业务学习次数及表现。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职业道德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爱岗敬业，潜心教书育人，工作得到同事和学生的一致好评。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15－20分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8－14分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1－7分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1.学生满意度；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2.同事满意度；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劳动纪律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模范遵守学院规章制度，出满勤。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7－10分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4－6分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1－3分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1.正常出勤情况；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2.加班工作情况。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职业素养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（50分）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团队协作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15分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融入团队，积极承担专项和临时工作，为领导分担责任，帮同事解决问题。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11－15分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6－10分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1－5分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1.领导安排工作接受及完成情况；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2.与同事合作完成工作情况。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素质提升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积极参加实践锻炼和专业能力培训，不断提高能力水平。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7－10分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4－6分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1－3分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参加工作岗位相关技能提升培训0.3分/天；取得相关专业高级专业技术职务任职资格（非教师系列）加3分；取得与任职资格相对应的职业资格等级证书或技能证书加2分。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综合奖励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多次获得院级及以上奖励或获评各类人才称号。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7－10分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4－6分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1－3分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国家、省和学院等各级部门授予的荣誉称号。国家级：由国务院授予的，或中共中央组织、国家人社部与教育部等部委联合授予的荣誉称号；省级：由省政府授予的，或省委组织部、省人社厅与省级主管部门等联合授予的荣誉称号；市厅级：由省厅单独授予的、市政府授予的，或市人社局与市级主管部门等联合授予的荣誉称号。院级：由学院表彰的先进个人、优秀教师、优秀工作者、优秀党员等。主要观测奖励级别和奖励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示范引领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15分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引领团队获得院级及以上集体荣誉。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11－15分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6－10分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1－5分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获得国家/省/市/院级先进党支部、先进集体等团队荣誉称号的分别按10/7/4/2分（正职100%、副职、支部书记按50%、其他成员按30%计分）。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合计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100</w:t>
            </w:r>
          </w:p>
        </w:tc>
        <w:tc>
          <w:tcPr>
            <w:tcW w:w="1211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Calibri" w:hAnsi="Calibri"/>
          <w:b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二、工作业绩（满分100分）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7"/>
        <w:gridCol w:w="1178"/>
        <w:gridCol w:w="5698"/>
        <w:gridCol w:w="6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一级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指标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项目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满分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分值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考核标准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工作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质量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（20分）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年度考核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20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优秀3分/次，称职1分/次。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1.由人事处提供数据；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2.年度考核不称职取消参评资格。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工作实践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（50分）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经验总结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20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撰写本职工作方面总结报告等，在会议上交流分享或提供意见、决策被采纳应用的省/院分别计每次5/2分。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1.多名完成人的，第一按100%，第二按50%，第三按20%，其他按10%计分；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2.以宣传统战部认定为准。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媒体原创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在正规网站、官方微博、专业论坛、公众平台等发表原创文章、评论或新闻报道等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5000字以上0.5分/篇；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2000～5000字0.3分/篇；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1000～2000字0.1分/篇。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1.与教育教学管理相关按100%，与所学专业相关50%，其他不加分；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2.多名作者的，第一作者按100%，第二作者按50%，第三作者按20%，其他作者按10%计分；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3.独立作者按120%计分；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4.提供材料时需提供链接；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5.高质量文章（指在高水平平台发表，由宣传统战部界定）可酌情按150%赋分。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创新创业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主持创新创业孵化基地建设、主持创新创业项目和指导学生创新创业项目，省级/市级/院级分别2分/1分/0.5分。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1.指导学生创新创业项目，同一项目多名指导教师平均赋分；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2.以创新创业学院认定为准。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竞赛获奖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tabs>
                <w:tab w:val="left" w:pos="305"/>
                <w:tab w:val="center" w:pos="541"/>
              </w:tabs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15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教师参加或指导学生参加各类竞赛，一等/二等/三等分别赋分：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国家级：12/10/8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  级：6/4/2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院  级：1/0.5/0.2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1.行业、协会类竞赛按同级别60%计分；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2.教师团队参赛：主持人/第一参与人/其他参与人分别按总分的100%/60%/30%计分；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3.同届同项比赛获二次以上奖项，除最高分外，其他奖项按20%计分；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4.优秀奖按下一级别一等奖计分；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5.担任国家、省、市竞赛评委（裁判）的，按相应级别一等奖计分；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6.参加各类比赛必须由学院相关职能部门安排参加，否则不予计分。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学术素养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（30分）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论文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30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国际特刊及权威核心刊物（《SCIENCE》、《NATURE》或SCIE、EI、ISTP、SSCI以及A&amp;HCI）5分/篇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全国中文核心期刊2分/篇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一般期刊0.5分/篇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1.与教育教学管理工作相关按100%，与所学专业相关50%，其他不加分。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2.多名作者的，第一作者按100%，第二作者按50%，第三作者按20%，其他作者按10%计分；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3.独立作者按120%计分；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4.通讯作者等同于第一作者；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5.核心期刊对照发表当年《全国中文期刊目录》界定；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6.内刊、增刊、专辑、论文集等上发表论文无效；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7.录用证明或出版证明无效；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8.四大检索需提供由政府部门认定的检索证明；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9.由政府部门颁发的论文成果奖，在发表论文赋分基础上增加2分。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教材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著作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国家级规划教材7分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省部级规划教材5分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一般出版教材3分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1.与教育教学管理工作相关按100%，与所学专业相关50%，其他不加分。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2.主编按100%赋分，副主编按50%赋分，参编按20%赋分；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3.主审按50%赋分；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3.专著20万字以上按国家级教材150%赋分，15-20万字按国家级教材120%赋分；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4.文学作品20万字以上按一般教材120%赋分，20万字以下按一般教材赋分（文学专业按省级教材计分）；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5.编著和译著等同于省级规划教材；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6.已出版的科普类类按一般教材50%赋分；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7.画册、诗词歌赋类由评审组根据影响力酌情赋分，由宣传统战部认定，总分最多不超过2分。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立项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结题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成果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国家级40分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省部级20分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市厅级7分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院级3分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1.获得一等奖100%，二等奖85%，三等奖70%，优秀奖50%计分，获奖不分等级的按同级别二等奖计分；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2.项目主持人按100%，第一参与人80%，第二参与人60%，第三参与人40%，第四参与人20%，之后按5%计分；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3.立项未结题课题按30%计分；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4.结题未获奖课题按50%计分；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5.成果应为本专业或工作领域内方可有效；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6.非政府奖项按对应等级的35%计分。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7.与外校合作课题，横向课题等，必须由科技处认证方可计分；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8.同一项目立项、结题、获奖只记最高分；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9.同一项目多次获奖，取最高奖项评分，不重复计分；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10.教育教学类和重点课题按120%计分；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11.子项目按该等级的60%计分；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12.国家示范院建设、国家“双高”、省“双高”等重大项目执笔人与项目主持人同等赋分。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专利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软著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国家发明专利3分；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实用新型专利1分；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软件著作权0.6分；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外观专利0.3分。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1.第一完成人100%，第二完成人70%，第三完成人40%，第四完成人10%，之后不计分；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2.我院应为第一署名单位的技术发明，否则不计分。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E1637"/>
    <w:rsid w:val="2C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2020-09-30T07:02:00Z</dcterms:created>
  <dc:creator>Liy</dc:creator>
  <cp:lastModifiedBy>Liy</cp:lastModifiedBy>
  <dcterms:modified xsi:type="dcterms:W3CDTF">2020-09-30T07:03:04Z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