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FD65" w14:textId="77777777" w:rsidR="004D16D6" w:rsidRDefault="004D16D6">
      <w:pPr>
        <w:jc w:val="center"/>
        <w:rPr>
          <w:rFonts w:ascii="黑体" w:eastAsia="黑体" w:hAnsi="黑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 w:rsidRPr="004D16D6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马克思主义学院党总支线上开展</w:t>
      </w:r>
    </w:p>
    <w:p w14:paraId="19A0B2A3" w14:textId="58DA2248" w:rsidR="005307C5" w:rsidRPr="004D16D6" w:rsidRDefault="004D16D6">
      <w:pPr>
        <w:jc w:val="center"/>
        <w:rPr>
          <w:rFonts w:ascii="黑体" w:eastAsia="黑体" w:hAnsi="黑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 w:rsidRPr="004D16D6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主题党日活动</w:t>
      </w:r>
    </w:p>
    <w:p w14:paraId="44F1E956" w14:textId="77777777" w:rsidR="005307C5" w:rsidRDefault="004D16D6">
      <w:pPr>
        <w:pStyle w:val="a3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为深入开展“两学一做”学习教育，切实发挥党员在疫情防控工作中的先锋作用，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13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日下午，马克思主义学院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党总支线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上开展主题党日活动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安排了党课宣讲和总体国家安全观专题辅导，会议由党委委员、党总支书记常忠志主持，马克思主义学院全体党员教师参加会议。</w:t>
      </w:r>
    </w:p>
    <w:p w14:paraId="0F916515" w14:textId="77777777" w:rsidR="005307C5" w:rsidRDefault="004D16D6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333333"/>
          <w:sz w:val="28"/>
          <w:szCs w:val="28"/>
          <w:shd w:val="clear" w:color="auto" w:fill="FFFFFF"/>
        </w:rPr>
        <w:drawing>
          <wp:inline distT="0" distB="0" distL="114300" distR="114300" wp14:anchorId="2014B90E" wp14:editId="560C138B">
            <wp:extent cx="5271770" cy="2620645"/>
            <wp:effectExtent l="0" t="0" r="5080" b="8255"/>
            <wp:docPr id="2" name="图片 2" descr="JP6``_9BN0]6S8@AO(T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P6``_9BN0]6S8@AO(TVAN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8C20" w14:textId="77777777" w:rsidR="005307C5" w:rsidRDefault="004D16D6">
      <w:pPr>
        <w:pStyle w:val="a3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主题党日活动首先进行党课宣讲。党总支第一党支部书记、“思修与法治”教研室主任马富贵围绕《携手同行，战胜疫情——发挥思政课教学的立德树人作用》主题，讲解了新冠肺炎知识、谈了个人对疫情防控的认识，重点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就马院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全体教师将疫情防控融入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思政课理论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教学和实践教学的具体做法、成效及其重要性做了深刻阐述，并对下一步继续推进教学改革、认真做好“两个结合”提出了建设性意见。</w:t>
      </w:r>
    </w:p>
    <w:p w14:paraId="360F9BFD" w14:textId="77777777" w:rsidR="005307C5" w:rsidRDefault="004D16D6">
      <w:pPr>
        <w:pStyle w:val="a3"/>
        <w:widowControl/>
        <w:shd w:val="clear" w:color="auto" w:fill="FFFFFF"/>
        <w:spacing w:beforeAutospacing="0" w:afterAutospacing="0"/>
        <w:ind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概论教研室主任、学生“躬行社”指导教师程之睿做了《马克思主义学院“躬行社”战“疫”纪实》的党课宣讲，重点讲解了在疫情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lastRenderedPageBreak/>
        <w:t>防控形势下组织“躬行社”开展的系列有益活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动。通过“用爱和责任为青春护航”云端主题演讲比赛和参与校园志愿服务活动，使同学们感受到了师长们的无私与伟大，并带着这种力量积极参与到疫情防控第一线，充分展现了新时代青年学生的责任与担当。</w:t>
      </w:r>
    </w:p>
    <w:p w14:paraId="0FE01620" w14:textId="77777777" w:rsidR="005307C5" w:rsidRDefault="004D16D6">
      <w:pPr>
        <w:pStyle w:val="a3"/>
        <w:widowControl/>
        <w:shd w:val="clear" w:color="auto" w:fill="FFFFFF"/>
        <w:spacing w:beforeAutospacing="0" w:afterAutospacing="0"/>
        <w:ind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随后，副院长王倩做了《坚持总体国家安全观》的专题辅导，从国家安全是安邦定国的理论基石的角度，介绍了国家安全的整体布局，拓展了教师们关于国家安全问题的理论视野和实践视野，从而深化了全体教师对国家安全问题的认识，更加坚定走中国特色社会主义国家安全的道路的决心和信心。</w:t>
      </w:r>
    </w:p>
    <w:p w14:paraId="22BD7B9B" w14:textId="77777777" w:rsidR="005307C5" w:rsidRDefault="004D16D6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333333"/>
          <w:sz w:val="28"/>
          <w:szCs w:val="28"/>
          <w:shd w:val="clear" w:color="auto" w:fill="FFFFFF"/>
        </w:rPr>
        <w:drawing>
          <wp:inline distT="0" distB="0" distL="114300" distR="114300" wp14:anchorId="2856A3F3" wp14:editId="1EDC5CB3">
            <wp:extent cx="5262245" cy="2535555"/>
            <wp:effectExtent l="0" t="0" r="14605" b="17145"/>
            <wp:docPr id="3" name="图片 3" descr="1J2V5${G}M17{@$K)0%AF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J2V5${G}M17{@$K)0%AFEJ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A2B4" w14:textId="77777777" w:rsidR="005307C5" w:rsidRDefault="004D16D6">
      <w:pPr>
        <w:pStyle w:val="a3"/>
        <w:widowControl/>
        <w:shd w:val="clear" w:color="auto" w:fill="FFFFFF"/>
        <w:spacing w:beforeAutospacing="0" w:afterAutospacing="0"/>
        <w:ind w:firstLine="56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党课宣讲和专题辅导结束后，院长陈德奎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传达了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学院近期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疫情防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控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和教学工作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会议精神及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纪委督查反馈意见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要求，全面总结了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马院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近期线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上教学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工作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，指出了线上授课存在的问题并提出改进措施。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同时，就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下一步马院主要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工作进行专题部署，并提出了明确要求。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要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求全体教师要继续深化教学改革，切实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将伟大抗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疫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精神深度融合到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思政课理论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教学和实践教学活动中去，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高质量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地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完成线上教学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任务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14:paraId="3CDDB27A" w14:textId="77777777" w:rsidR="005307C5" w:rsidRDefault="004D16D6">
      <w:pPr>
        <w:pStyle w:val="a3"/>
        <w:widowControl/>
        <w:shd w:val="clear" w:color="auto" w:fill="FFFFFF"/>
        <w:spacing w:beforeAutospacing="0" w:afterAutospacing="0"/>
        <w:ind w:firstLine="560"/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lastRenderedPageBreak/>
        <w:t>最后，常忠志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作总结讲话，传达了党委会有关会议精神，重点就扎实开展好党员教师对接学生工作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作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了全面部署，并提出了严格要求。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要求马院全体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党员教师提高政治站位，统一思想行动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严格执行学院有关规定和要求，发挥党员先锋作用，团结一致，不懈努力，履职尽责，共克时艰，把各项工作落实落细，维护好校园安全稳定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坚决打赢疫情防控战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sectPr w:rsidR="00530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C5"/>
    <w:rsid w:val="004D16D6"/>
    <w:rsid w:val="005307C5"/>
    <w:rsid w:val="04C20CC4"/>
    <w:rsid w:val="064424ED"/>
    <w:rsid w:val="06D82C35"/>
    <w:rsid w:val="07600CE2"/>
    <w:rsid w:val="093A1985"/>
    <w:rsid w:val="0AE13C65"/>
    <w:rsid w:val="0B004E4A"/>
    <w:rsid w:val="0C0B13B7"/>
    <w:rsid w:val="0F3952EE"/>
    <w:rsid w:val="117F6C23"/>
    <w:rsid w:val="118A4152"/>
    <w:rsid w:val="12687563"/>
    <w:rsid w:val="15F66153"/>
    <w:rsid w:val="16734728"/>
    <w:rsid w:val="16BF34C9"/>
    <w:rsid w:val="172A4DE7"/>
    <w:rsid w:val="17CE57EA"/>
    <w:rsid w:val="18D95199"/>
    <w:rsid w:val="19573E8D"/>
    <w:rsid w:val="19C01BA2"/>
    <w:rsid w:val="1E5236E2"/>
    <w:rsid w:val="218066E2"/>
    <w:rsid w:val="21854D72"/>
    <w:rsid w:val="2274785E"/>
    <w:rsid w:val="248A5117"/>
    <w:rsid w:val="2A256F18"/>
    <w:rsid w:val="2C301374"/>
    <w:rsid w:val="30F85AF5"/>
    <w:rsid w:val="34990D5F"/>
    <w:rsid w:val="36010FB1"/>
    <w:rsid w:val="371F3F02"/>
    <w:rsid w:val="37893954"/>
    <w:rsid w:val="3D8D47EC"/>
    <w:rsid w:val="3EAD482D"/>
    <w:rsid w:val="3F636838"/>
    <w:rsid w:val="51D70594"/>
    <w:rsid w:val="527B5A61"/>
    <w:rsid w:val="554D61F6"/>
    <w:rsid w:val="57BD3705"/>
    <w:rsid w:val="585A2A77"/>
    <w:rsid w:val="5BDF1B23"/>
    <w:rsid w:val="5C5C17B5"/>
    <w:rsid w:val="69AE394C"/>
    <w:rsid w:val="6A097E59"/>
    <w:rsid w:val="6D7C13DF"/>
    <w:rsid w:val="6D9B1D00"/>
    <w:rsid w:val="6F54601A"/>
    <w:rsid w:val="70BE6410"/>
    <w:rsid w:val="7219081C"/>
    <w:rsid w:val="727120A6"/>
    <w:rsid w:val="77FE0876"/>
    <w:rsid w:val="78F27566"/>
    <w:rsid w:val="7B096FF0"/>
    <w:rsid w:val="7B6E0463"/>
    <w:rsid w:val="7E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C6DD1"/>
  <w15:docId w15:val="{1832CD93-5D50-4327-AD9F-65B536D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8615326230660</cp:lastModifiedBy>
  <cp:revision>2</cp:revision>
  <dcterms:created xsi:type="dcterms:W3CDTF">2022-04-13T10:31:00Z</dcterms:created>
  <dcterms:modified xsi:type="dcterms:W3CDTF">2022-04-15T03:27:00Z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6BF346B415D240D7A82EE2205A191F6C</vt:lpwstr>
  </property>
</Properties>
</file>