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r>
        <w:t>窗体顶端</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tbl>
            <w:tblPr>
              <w:tblW w:w="49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gridCol w:w="240"/>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0" w:type="auto"/>
                  <w:shd w:val="clear" w:color="auto" w:fill="FFFFFF"/>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shd w:val="clear"/>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0" w:right="150" w:firstLine="540"/>
                                <w:jc w:val="center"/>
                                <w:rPr>
                                  <w:sz w:val="24"/>
                                  <w:szCs w:val="24"/>
                                </w:rPr>
                              </w:pPr>
                              <w:r>
                                <w:rPr>
                                  <w:rFonts w:hint="eastAsia" w:ascii="宋体" w:hAnsi="宋体" w:eastAsia="宋体" w:cs="宋体"/>
                                  <w:b/>
                                  <w:bCs/>
                                  <w:kern w:val="0"/>
                                  <w:sz w:val="44"/>
                                  <w:szCs w:val="44"/>
                                  <w:bdr w:val="none" w:color="auto" w:sz="0" w:space="0"/>
                                  <w:lang w:val="en-US" w:eastAsia="zh-CN" w:bidi="ar"/>
                                </w:rPr>
                                <w:t>（辽宁农业职业技术学院园艺技术专业群综合教育实训室及智慧农业机具库建设工程）竞争性磋商公告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sz w:val="24"/>
                                  <w:szCs w:val="24"/>
                                </w:rPr>
                              </w:pPr>
                              <w:r>
                                <w:rPr>
                                  <w:rFonts w:ascii="仿宋" w:hAnsi="仿宋" w:eastAsia="仿宋" w:cs="仿宋"/>
                                  <w:b/>
                                  <w:bCs/>
                                  <w:kern w:val="0"/>
                                  <w:sz w:val="28"/>
                                  <w:szCs w:val="28"/>
                                  <w:bdr w:val="none" w:color="auto" w:sz="0" w:space="0"/>
                                  <w:lang w:val="en-US" w:eastAsia="zh-CN" w:bidi="ar"/>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8" w:afterAutospacing="0" w:line="560" w:lineRule="atLeast"/>
                                <w:ind w:left="828" w:right="828"/>
                              </w:pPr>
                              <w:r>
                                <w:rPr>
                                  <w:rFonts w:hint="eastAsia" w:ascii="仿宋" w:hAnsi="仿宋" w:eastAsia="仿宋" w:cs="仿宋"/>
                                  <w:sz w:val="28"/>
                                  <w:szCs w:val="28"/>
                                  <w:bdr w:val="none" w:color="auto" w:sz="0" w:space="0"/>
                                </w:rPr>
                                <w:t>辽宁农业职业技术学院园艺技术专业群综合教育实训室及智慧农业机具库建设工程采购项目的潜在供应商应在线上获取采购文件，并于2023年08月31日 13时30分（北京时间）前提交响应文件。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ascii="黑体" w:hAnsi="宋体" w:eastAsia="黑体" w:cs="黑体"/>
                                  <w:b/>
                                  <w:bCs/>
                                  <w:kern w:val="0"/>
                                  <w:sz w:val="28"/>
                                  <w:szCs w:val="28"/>
                                  <w:bdr w:val="none" w:color="auto" w:sz="0" w:space="0"/>
                                  <w:shd w:val="clear" w:fill="FFFFFF"/>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项目编号：JH23-210000-44973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项目名称：辽宁农业职业技术学院园艺技术专业群综合教育实训室及智慧农业机具库建设工程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采购方式：竞争性磋商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预算金额（元）：1,100,000.00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最高限价（元）：1,100,000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采购需求：</w:t>
                              </w:r>
                              <w:r>
                                <w:rPr>
                                  <w:rFonts w:hint="eastAsia" w:ascii="仿宋" w:hAnsi="仿宋" w:eastAsia="仿宋" w:cs="仿宋"/>
                                  <w:color w:val="337AB7"/>
                                  <w:kern w:val="0"/>
                                  <w:sz w:val="27"/>
                                  <w:szCs w:val="27"/>
                                  <w:u w:val="none"/>
                                  <w:bdr w:val="none" w:color="auto" w:sz="0" w:space="0"/>
                                  <w:shd w:val="clear" w:fill="FFFFFF"/>
                                  <w:lang w:val="en-US" w:eastAsia="zh-CN" w:bidi="ar"/>
                                </w:rPr>
                                <w:fldChar w:fldCharType="begin"/>
                              </w:r>
                              <w:r>
                                <w:rPr>
                                  <w:rFonts w:hint="eastAsia" w:ascii="仿宋" w:hAnsi="仿宋" w:eastAsia="仿宋" w:cs="仿宋"/>
                                  <w:color w:val="337AB7"/>
                                  <w:kern w:val="0"/>
                                  <w:sz w:val="27"/>
                                  <w:szCs w:val="27"/>
                                  <w:u w:val="none"/>
                                  <w:bdr w:val="none" w:color="auto" w:sz="0" w:space="0"/>
                                  <w:shd w:val="clear" w:fill="FFFFFF"/>
                                  <w:lang w:val="en-US" w:eastAsia="zh-CN" w:bidi="ar"/>
                                </w:rPr>
                                <w:instrText xml:space="preserve"> HYPERLINK "javascript:showBulletinInfo('001')" </w:instrText>
                              </w:r>
                              <w:r>
                                <w:rPr>
                                  <w:rFonts w:hint="eastAsia" w:ascii="仿宋" w:hAnsi="仿宋" w:eastAsia="仿宋" w:cs="仿宋"/>
                                  <w:color w:val="337AB7"/>
                                  <w:kern w:val="0"/>
                                  <w:sz w:val="27"/>
                                  <w:szCs w:val="27"/>
                                  <w:u w:val="none"/>
                                  <w:bdr w:val="none" w:color="auto" w:sz="0" w:space="0"/>
                                  <w:shd w:val="clear" w:fill="FFFFFF"/>
                                  <w:lang w:val="en-US" w:eastAsia="zh-CN" w:bidi="ar"/>
                                </w:rPr>
                                <w:fldChar w:fldCharType="separate"/>
                              </w:r>
                              <w:r>
                                <w:rPr>
                                  <w:rStyle w:val="5"/>
                                  <w:rFonts w:hint="eastAsia" w:ascii="宋体" w:hAnsi="宋体" w:eastAsia="宋体" w:cs="宋体"/>
                                  <w:color w:val="337AB7"/>
                                  <w:sz w:val="24"/>
                                  <w:szCs w:val="24"/>
                                  <w:u w:val="none"/>
                                  <w:bdr w:val="none" w:color="auto" w:sz="0" w:space="0"/>
                                  <w:shd w:val="clear" w:fill="FFFFFF"/>
                                </w:rPr>
                                <w:t>查看</w:t>
                              </w:r>
                              <w:r>
                                <w:rPr>
                                  <w:rFonts w:hint="eastAsia" w:ascii="仿宋" w:hAnsi="仿宋" w:eastAsia="仿宋" w:cs="仿宋"/>
                                  <w:color w:val="337AB7"/>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合同履行期限：30天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需落实的政府采购政策内容：落实中小微企业（含监狱企业）、残疾人就业、节能产品、环境标志产品、辽宁省创新产品和服务等政府采购政策。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本项目（是/否）接受联合体投标：否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二、供应商的资格要求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color w:val="333333"/>
                                  <w:kern w:val="0"/>
                                  <w:sz w:val="28"/>
                                  <w:szCs w:val="28"/>
                                  <w:bdr w:val="none" w:color="auto" w:sz="0" w:space="0"/>
                                  <w:shd w:val="clear" w:fill="FFFFFF"/>
                                  <w:lang w:val="en-US" w:eastAsia="zh-CN" w:bidi="ar"/>
                                </w:rPr>
                                <w:t>2.落实政府采购政策需满足的资格要求：本项目专门面向中小微企业采购，供应商须为中型或小型或微型企业，残疾人福利性单位、监狱企业视同小型和微型企业。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sz w:val="24"/>
                                  <w:szCs w:val="24"/>
                                </w:rPr>
                              </w:pPr>
                              <w:r>
                                <w:rPr>
                                  <w:rFonts w:hint="eastAsia" w:ascii="仿宋" w:hAnsi="仿宋" w:eastAsia="仿宋" w:cs="仿宋"/>
                                  <w:color w:val="333333"/>
                                  <w:kern w:val="0"/>
                                  <w:sz w:val="28"/>
                                  <w:szCs w:val="28"/>
                                  <w:bdr w:val="none" w:color="auto" w:sz="0" w:space="0"/>
                                  <w:shd w:val="clear" w:fill="FFFFFF"/>
                                  <w:lang w:val="en-US" w:eastAsia="zh-CN" w:bidi="ar"/>
                                </w:rPr>
                                <w:t>3.本项目的特定资格要求：（1）供应商须具有建筑工程施工总承包叁级（含）以上资质； （2）具有有效的安全生产许可证； （3）拟派项目经理须具备有效的建筑工程专业贰级（含）以上注册建造师证书（已实行电子注册证书省份须提供有效的电子注册证书）及其有效的安全生产考核合格证书。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三、政府采购供应商入库须知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76" w:right="676" w:firstLine="540"/>
                                <w:jc w:val="left"/>
                                <w:rPr>
                                  <w:sz w:val="24"/>
                                  <w:szCs w:val="24"/>
                                </w:rPr>
                              </w:pPr>
                              <w:r>
                                <w:rPr>
                                  <w:rFonts w:hint="eastAsia" w:ascii="仿宋" w:hAnsi="仿宋" w:eastAsia="仿宋" w:cs="仿宋"/>
                                  <w:kern w:val="0"/>
                                  <w:sz w:val="28"/>
                                  <w:szCs w:val="28"/>
                                  <w:bdr w:val="none" w:color="auto" w:sz="0" w:space="0"/>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四、获取采购文件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sz w:val="24"/>
                                  <w:szCs w:val="24"/>
                                </w:rPr>
                              </w:pPr>
                              <w:r>
                                <w:rPr>
                                  <w:rFonts w:hint="eastAsia" w:ascii="仿宋" w:hAnsi="仿宋" w:eastAsia="仿宋" w:cs="仿宋"/>
                                  <w:kern w:val="0"/>
                                  <w:sz w:val="28"/>
                                  <w:szCs w:val="28"/>
                                  <w:bdr w:val="none" w:color="auto" w:sz="0" w:space="0"/>
                                  <w:lang w:val="en-US" w:eastAsia="zh-CN" w:bidi="ar"/>
                                </w:rPr>
                                <w:t>时间：2023年08月18日 00时00分至2023年08月26日 00时00分（北京时间，法定节假日除外）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地点：线上获取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方式：线上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售价：免费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五、响应文件提交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截止时间：2023年08月31日 13时30分（北京时间）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地点：辽宁政府采购网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六、开启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时间：2023年08月31日 13时30分（北京时间）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地点：辽宁政府采购网网上提交，电子备份文件提交至辽宁浩亿招投标有限公司或将加密版电子备份文件发至邮箱syhygs@163.com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七、公告期限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自本公告发布之日起3个工作日。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八、质疑与投诉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sz w:val="24"/>
                                  <w:szCs w:val="24"/>
                                </w:rPr>
                              </w:pPr>
                              <w:r>
                                <w:rPr>
                                  <w:rFonts w:hint="eastAsia" w:ascii="仿宋" w:hAnsi="仿宋" w:eastAsia="仿宋" w:cs="仿宋"/>
                                  <w:kern w:val="0"/>
                                  <w:sz w:val="28"/>
                                  <w:szCs w:val="28"/>
                                  <w:bdr w:val="none" w:color="auto" w:sz="0" w:space="0"/>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sz w:val="24"/>
                                  <w:szCs w:val="24"/>
                                </w:rPr>
                              </w:pPr>
                              <w:r>
                                <w:rPr>
                                  <w:rFonts w:hint="eastAsia" w:ascii="仿宋" w:hAnsi="仿宋" w:eastAsia="仿宋" w:cs="仿宋"/>
                                  <w:kern w:val="0"/>
                                  <w:sz w:val="28"/>
                                  <w:szCs w:val="28"/>
                                  <w:bdr w:val="none" w:color="auto" w:sz="0" w:space="0"/>
                                  <w:lang w:val="en-US" w:eastAsia="zh-CN" w:bidi="ar"/>
                                </w:rPr>
                                <w:t>1、接收质疑函方式：线上或书面纸质质疑函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sz w:val="24"/>
                                  <w:szCs w:val="24"/>
                                </w:rPr>
                              </w:pPr>
                              <w:r>
                                <w:rPr>
                                  <w:rFonts w:hint="eastAsia" w:ascii="仿宋" w:hAnsi="仿宋" w:eastAsia="仿宋" w:cs="仿宋"/>
                                  <w:kern w:val="0"/>
                                  <w:sz w:val="28"/>
                                  <w:szCs w:val="28"/>
                                  <w:bdr w:val="none" w:color="auto" w:sz="0" w:space="0"/>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sz w:val="24"/>
                                  <w:szCs w:val="24"/>
                                </w:rPr>
                              </w:pPr>
                              <w:r>
                                <w:rPr>
                                  <w:rFonts w:hint="eastAsia" w:ascii="仿宋" w:hAnsi="仿宋" w:eastAsia="仿宋" w:cs="仿宋"/>
                                  <w:kern w:val="0"/>
                                  <w:sz w:val="28"/>
                                  <w:szCs w:val="28"/>
                                  <w:bdr w:val="none" w:color="auto" w:sz="0" w:space="0"/>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九、其他补充事宜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6" w:right="150" w:firstLine="540"/>
                                <w:jc w:val="left"/>
                                <w:rPr>
                                  <w:sz w:val="24"/>
                                  <w:szCs w:val="24"/>
                                </w:rPr>
                              </w:pPr>
                              <w:r>
                                <w:rPr>
                                  <w:rFonts w:hint="eastAsia" w:ascii="仿宋" w:hAnsi="仿宋" w:eastAsia="仿宋" w:cs="仿宋"/>
                                  <w:kern w:val="0"/>
                                  <w:sz w:val="28"/>
                                  <w:szCs w:val="28"/>
                                  <w:bdr w:val="none" w:color="auto" w:sz="0" w:space="0"/>
                                  <w:lang w:val="en-US" w:eastAsia="zh-CN" w:bidi="ar"/>
                                </w:rPr>
                                <w:t>本项目为全过程电子标，响应文件递交方式采用线上递交及电子备份文件递交同时执行，参与本项目的供应商须自行办理好CA锁，网上领取采购文件，并在规定时间上传电子响应文件。具体操作流程详见辽宁政府采购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sz w:val="24"/>
                                  <w:szCs w:val="24"/>
                                </w:rPr>
                              </w:pPr>
                              <w:r>
                                <w:rPr>
                                  <w:rFonts w:hint="eastAsia" w:ascii="黑体" w:hAnsi="宋体" w:eastAsia="黑体" w:cs="黑体"/>
                                  <w:b/>
                                  <w:bCs/>
                                  <w:kern w:val="0"/>
                                  <w:sz w:val="28"/>
                                  <w:szCs w:val="28"/>
                                  <w:bdr w:val="none" w:color="auto" w:sz="0" w:space="0"/>
                                  <w:shd w:val="clear" w:fill="FFFFFF"/>
                                  <w:lang w:val="en-US" w:eastAsia="zh-CN" w:bidi="ar"/>
                                </w:rPr>
                                <w:t>十、对本次招标提出询问，请按以下方式联系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名  称：</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辽宁农业职业技术学院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地  址：</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营口经济技术开发区熊岳镇育才里76-0号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联系方式：</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0417-7020885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名  称：</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辽宁浩亿招投标有限公司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地  址：</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沈阳市皇姑区同江街11-1号3门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联系方式：</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024-81231520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邮箱地址：</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syhygs@163.com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开户行：</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盛京银行沈阳市向工支行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账户名称：</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辽宁浩亿招投标有限公司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账号：</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0338260102000001621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项目联系人：</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杜丽伟、焦巍、李姗姗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sz w:val="24"/>
                                  <w:szCs w:val="24"/>
                                </w:rPr>
                              </w:pPr>
                              <w:r>
                                <w:rPr>
                                  <w:rFonts w:hint="eastAsia" w:ascii="仿宋" w:hAnsi="仿宋" w:eastAsia="仿宋" w:cs="仿宋"/>
                                  <w:kern w:val="0"/>
                                  <w:sz w:val="28"/>
                                  <w:szCs w:val="28"/>
                                  <w:bdr w:val="none" w:color="auto" w:sz="0" w:space="0"/>
                                  <w:lang w:val="en-US" w:eastAsia="zh-CN" w:bidi="ar"/>
                                </w:rPr>
                                <w:t>电  话：</w:t>
                              </w:r>
                              <w:r>
                                <w:rPr>
                                  <w:rFonts w:ascii="宋体" w:hAnsi="宋体" w:eastAsia="宋体" w:cs="宋体"/>
                                  <w:kern w:val="0"/>
                                  <w:sz w:val="24"/>
                                  <w:szCs w:val="24"/>
                                  <w:bdr w:val="none" w:color="auto" w:sz="0" w:space="0"/>
                                  <w:lang w:val="en-US" w:eastAsia="zh-CN" w:bidi="ar"/>
                                </w:rPr>
                                <w:t> </w:t>
                              </w:r>
                              <w:r>
                                <w:rPr>
                                  <w:rFonts w:hint="eastAsia" w:ascii="仿宋" w:hAnsi="仿宋" w:eastAsia="仿宋" w:cs="仿宋"/>
                                  <w:kern w:val="0"/>
                                  <w:sz w:val="28"/>
                                  <w:szCs w:val="28"/>
                                  <w:bdr w:val="none" w:color="auto" w:sz="0" w:space="0"/>
                                  <w:lang w:val="en-US" w:eastAsia="zh-CN" w:bidi="ar"/>
                                </w:rPr>
                                <w:t>024-81231520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sz w:val="24"/>
                                  <w:szCs w:val="24"/>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2D51A9"/>
                                  <w:kern w:val="0"/>
                                  <w:sz w:val="18"/>
                                  <w:szCs w:val="18"/>
                                  <w:u w:val="none"/>
                                  <w:bdr w:val="none" w:color="auto" w:sz="0" w:space="0"/>
                                  <w:lang w:val="en-US" w:eastAsia="zh-CN" w:bidi="ar"/>
                                </w:rPr>
                                <w:t>评分办法:综合评分法</w:t>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color w:val="2D51A9"/>
                                  <w:sz w:val="18"/>
                                  <w:szCs w:val="18"/>
                                  <w:u w:val="none"/>
                                </w:rPr>
                              </w:pPr>
                              <w:r>
                                <w:rPr>
                                  <w:rFonts w:hint="eastAsia" w:ascii="宋体" w:hAnsi="宋体" w:eastAsia="宋体" w:cs="宋体"/>
                                  <w:color w:val="337AB7"/>
                                  <w:kern w:val="0"/>
                                  <w:sz w:val="27"/>
                                  <w:szCs w:val="27"/>
                                  <w:u w:val="none"/>
                                  <w:bdr w:val="none" w:color="auto" w:sz="0" w:space="0"/>
                                  <w:lang w:val="en-US" w:eastAsia="zh-CN" w:bidi="ar"/>
                                </w:rPr>
                                <w:fldChar w:fldCharType="begin"/>
                              </w:r>
                              <w:r>
                                <w:rPr>
                                  <w:rFonts w:hint="eastAsia" w:ascii="宋体" w:hAnsi="宋体" w:eastAsia="宋体" w:cs="宋体"/>
                                  <w:color w:val="337AB7"/>
                                  <w:kern w:val="0"/>
                                  <w:sz w:val="27"/>
                                  <w:szCs w:val="27"/>
                                  <w:u w:val="none"/>
                                  <w:bdr w:val="none" w:color="auto" w:sz="0" w:space="0"/>
                                  <w:lang w:val="en-US" w:eastAsia="zh-CN" w:bidi="ar"/>
                                </w:rPr>
                                <w:instrText xml:space="preserve"> HYPERLINK "javascript:void(0)" </w:instrText>
                              </w:r>
                              <w:r>
                                <w:rPr>
                                  <w:rFonts w:hint="eastAsia" w:ascii="宋体" w:hAnsi="宋体" w:eastAsia="宋体" w:cs="宋体"/>
                                  <w:color w:val="337AB7"/>
                                  <w:kern w:val="0"/>
                                  <w:sz w:val="27"/>
                                  <w:szCs w:val="27"/>
                                  <w:u w:val="none"/>
                                  <w:bdr w:val="none" w:color="auto" w:sz="0" w:space="0"/>
                                  <w:lang w:val="en-US" w:eastAsia="zh-CN" w:bidi="ar"/>
                                </w:rPr>
                                <w:fldChar w:fldCharType="separate"/>
                              </w:r>
                              <w:r>
                                <w:rPr>
                                  <w:rStyle w:val="5"/>
                                  <w:rFonts w:hint="eastAsia" w:ascii="宋体" w:hAnsi="宋体" w:eastAsia="宋体" w:cs="宋体"/>
                                  <w:color w:val="337AB7"/>
                                  <w:sz w:val="27"/>
                                  <w:szCs w:val="27"/>
                                  <w:u w:val="none"/>
                                  <w:bdr w:val="none" w:color="auto" w:sz="0" w:space="0"/>
                                </w:rPr>
                                <w:t>关联计划</w:t>
                              </w:r>
                              <w:r>
                                <w:rPr>
                                  <w:rFonts w:hint="eastAsia" w:ascii="宋体" w:hAnsi="宋体" w:eastAsia="宋体" w:cs="宋体"/>
                                  <w:color w:val="337AB7"/>
                                  <w:kern w:val="0"/>
                                  <w:sz w:val="27"/>
                                  <w:szCs w:val="27"/>
                                  <w:u w:val="none"/>
                                  <w:bdr w:val="none" w:color="auto" w:sz="0" w:space="0"/>
                                  <w:lang w:val="en-US" w:eastAsia="zh-CN" w:bidi="ar"/>
                                </w:rPr>
                                <w:fldChar w:fldCharType="end"/>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6F9FE"/>
                              <w:vAlign w:val="center"/>
                            </w:tcPr>
                            <w:p>
                              <w:pPr>
                                <w:jc w:val="left"/>
                                <w:rPr>
                                  <w:rFonts w:hint="eastAsia" w:ascii="宋体" w:hAnsi="宋体" w:eastAsia="宋体" w:cs="宋体"/>
                                  <w:sz w:val="18"/>
                                  <w:szCs w:val="18"/>
                                  <w:u w:val="none"/>
                                </w:rPr>
                              </w:pPr>
                            </w:p>
                          </w:tc>
                        </w:tr>
                      </w:tbl>
                      <w:p>
                        <w:pPr>
                          <w:spacing w:before="0" w:beforeAutospacing="0" w:after="0" w:afterAutospacing="0"/>
                          <w:ind w:left="0" w:right="0"/>
                          <w:jc w:val="left"/>
                        </w:pPr>
                      </w:p>
                    </w:tc>
                  </w:tr>
                </w:tbl>
                <w:p>
                  <w:pPr>
                    <w:spacing w:before="0" w:beforeAutospacing="0" w:after="0" w:afterAutospacing="0"/>
                    <w:ind w:left="0" w:right="0"/>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bl>
          <w:p>
            <w:pPr>
              <w:spacing w:before="0" w:beforeAutospacing="0" w:after="0" w:afterAutospacing="0"/>
              <w:ind w:left="0" w:right="0"/>
            </w:pPr>
          </w:p>
        </w:tc>
      </w:tr>
    </w:tbl>
    <w:p>
      <w:pPr>
        <w:pStyle w:val="7"/>
      </w:pPr>
      <w:r>
        <w:t>窗体底端</w:t>
      </w:r>
    </w:p>
    <w:p>
      <w:pPr>
        <w:keepNext w:val="0"/>
        <w:keepLines w:val="0"/>
        <w:widowControl/>
        <w:suppressLineNumbers w:val="0"/>
        <w:pBdr>
          <w:top w:val="single" w:color="DDDDDD" w:sz="6" w:space="0"/>
          <w:left w:val="single" w:color="DDDDDD" w:sz="6" w:space="0"/>
          <w:bottom w:val="single" w:color="DDDDDD" w:sz="6" w:space="0"/>
          <w:right w:val="single" w:color="DDDDDD" w:sz="6" w:space="0"/>
        </w:pBdr>
        <w:shd w:val="clear" w:fill="FFFFFF"/>
        <w:spacing w:before="0" w:beforeAutospacing="0" w:after="0" w:afterAutospacing="0"/>
        <w:ind w:left="0" w:right="0" w:firstLine="0"/>
        <w:jc w:val="left"/>
        <w:rPr>
          <w:rFonts w:hint="default" w:ascii="Arial" w:hAnsi="Arial" w:cs="Arial"/>
          <w:i w:val="0"/>
          <w:iCs w:val="0"/>
          <w:caps w:val="0"/>
          <w:color w:val="FF0000"/>
          <w:spacing w:val="0"/>
          <w:sz w:val="27"/>
          <w:szCs w:val="27"/>
        </w:rPr>
      </w:pPr>
      <w:r>
        <w:rPr>
          <w:rFonts w:hint="default" w:ascii="Arial" w:hAnsi="Arial" w:eastAsia="宋体" w:cs="Arial"/>
          <w:i w:val="0"/>
          <w:iCs w:val="0"/>
          <w:caps w:val="0"/>
          <w:color w:val="FF0000"/>
          <w:spacing w:val="0"/>
          <w:kern w:val="0"/>
          <w:sz w:val="27"/>
          <w:szCs w:val="27"/>
          <w:bdr w:val="none" w:color="auto" w:sz="0" w:space="0"/>
          <w:shd w:val="clear" w:fill="FFFFFF"/>
          <w:lang w:val="en-US" w:eastAsia="zh-CN" w:bidi="ar"/>
        </w:rPr>
        <w:t>注：财政部门鼓励供应商采用保函的方式递交投标保证金，任何采购代理机构在政府采购活动中不得拒收供应商以保函方式递交的保证金。</w:t>
      </w:r>
    </w:p>
    <w:p>
      <w:pPr>
        <w:keepNext w:val="0"/>
        <w:keepLines w:val="0"/>
        <w:widowControl/>
        <w:suppressLineNumbers w:val="0"/>
        <w:pBdr>
          <w:top w:val="single" w:color="DDDDDD" w:sz="6" w:space="0"/>
          <w:left w:val="single" w:color="DDDDDD" w:sz="6" w:space="0"/>
          <w:bottom w:val="single" w:color="DDDDDD" w:sz="6" w:space="0"/>
          <w:right w:val="single" w:color="DDDDDD" w:sz="6" w:space="0"/>
        </w:pBdr>
        <w:shd w:val="clear" w:fill="FFFFFF"/>
        <w:spacing w:before="0" w:beforeAutospacing="0" w:after="0" w:afterAutospacing="0"/>
        <w:ind w:left="0" w:right="0" w:firstLine="0"/>
        <w:jc w:val="center"/>
        <w:rPr>
          <w:rFonts w:hint="default" w:ascii="Arial" w:hAnsi="Arial" w:cs="Arial"/>
          <w:i w:val="0"/>
          <w:iCs w:val="0"/>
          <w:caps w:val="0"/>
          <w:color w:val="333333"/>
          <w:spacing w:val="0"/>
          <w:sz w:val="18"/>
          <w:szCs w:val="18"/>
        </w:rPr>
      </w:pPr>
      <w:r>
        <w:rPr>
          <w:rFonts w:hint="default" w:ascii="Arial" w:hAnsi="Arial" w:eastAsia="宋体" w:cs="Arial"/>
          <w:i w:val="0"/>
          <w:iCs w:val="0"/>
          <w:caps w:val="0"/>
          <w:color w:val="333333"/>
          <w:spacing w:val="0"/>
          <w:kern w:val="0"/>
          <w:sz w:val="18"/>
          <w:szCs w:val="18"/>
          <w:bdr w:val="none" w:color="auto" w:sz="0" w:space="0"/>
          <w:shd w:val="clear" w:fill="FFFFFF"/>
          <w:lang w:val="en-US" w:eastAsia="zh-CN" w:bidi="ar"/>
        </w:rPr>
        <w:t>申请投标保函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234B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2023-08-18T08:29:15Z</dcterms:created>
  <dc:creator>ydq</dc:creator>
  <cp:lastModifiedBy>ydq</cp:lastModifiedBy>
  <dcterms:modified xsi:type="dcterms:W3CDTF">2023-08-18T08:29:26Z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D3F9128F1D14413D83364B52D3AF65A7_12</vt:lpwstr>
  </property>
</Properties>
</file>