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辽宁农业职业技术学院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省高校科研平台优化重组方案</w:t>
      </w:r>
    </w:p>
    <w:p>
      <w:pPr>
        <w:spacing w:line="580" w:lineRule="exact"/>
        <w:ind w:firstLine="640" w:firstLineChars="200"/>
        <w:rPr>
          <w:rFonts w:hint="default" w:ascii="仿宋" w:hAnsi="仿宋" w:eastAsia="仿宋" w:cs="CESI黑体-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根据</w:t>
      </w:r>
      <w:r>
        <w:rPr>
          <w:rFonts w:ascii="仿宋" w:hAnsi="仿宋" w:eastAsia="仿宋" w:cs="CESI黑体-GB2312"/>
          <w:sz w:val="32"/>
          <w:szCs w:val="32"/>
        </w:rPr>
        <w:t>《</w:t>
      </w:r>
      <w:r>
        <w:rPr>
          <w:rFonts w:hint="eastAsia" w:ascii="仿宋" w:hAnsi="仿宋" w:eastAsia="仿宋" w:cs="CESI黑体-GB2312"/>
          <w:sz w:val="32"/>
          <w:szCs w:val="32"/>
        </w:rPr>
        <w:t>辽宁</w:t>
      </w:r>
      <w:r>
        <w:rPr>
          <w:rFonts w:ascii="仿宋" w:hAnsi="仿宋" w:eastAsia="仿宋" w:cs="CESI黑体-GB2312"/>
          <w:sz w:val="32"/>
          <w:szCs w:val="32"/>
        </w:rPr>
        <w:t>省教育厅关于开展高校科研平台优化重组的通知》</w:t>
      </w:r>
      <w:r>
        <w:rPr>
          <w:rFonts w:hint="eastAsia" w:ascii="仿宋" w:hAnsi="仿宋" w:eastAsia="仿宋" w:cs="CESI黑体-GB2312"/>
          <w:sz w:val="32"/>
          <w:szCs w:val="32"/>
        </w:rPr>
        <w:t>（辽</w:t>
      </w:r>
      <w:r>
        <w:rPr>
          <w:rFonts w:ascii="仿宋" w:hAnsi="仿宋" w:eastAsia="仿宋" w:cs="CESI黑体-GB2312"/>
          <w:sz w:val="32"/>
          <w:szCs w:val="32"/>
        </w:rPr>
        <w:t>教通</w:t>
      </w:r>
      <w:r>
        <w:rPr>
          <w:rFonts w:hint="eastAsia" w:ascii="仿宋" w:hAnsi="仿宋" w:eastAsia="仿宋" w:cs="CESI黑体-GB2312"/>
          <w:sz w:val="32"/>
          <w:szCs w:val="32"/>
        </w:rPr>
        <w:t>〔2023〕2</w:t>
      </w:r>
      <w:r>
        <w:rPr>
          <w:rFonts w:ascii="仿宋" w:hAnsi="仿宋" w:eastAsia="仿宋" w:cs="CESI黑体-GB2312"/>
          <w:sz w:val="32"/>
          <w:szCs w:val="32"/>
        </w:rPr>
        <w:t>27</w:t>
      </w:r>
      <w:r>
        <w:rPr>
          <w:rFonts w:hint="eastAsia" w:ascii="仿宋" w:hAnsi="仿宋" w:eastAsia="仿宋" w:cs="CESI黑体-GB2312"/>
          <w:sz w:val="32"/>
          <w:szCs w:val="32"/>
        </w:rPr>
        <w:t>号）</w:t>
      </w: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要求</w:t>
      </w:r>
      <w:r>
        <w:rPr>
          <w:rFonts w:ascii="仿宋" w:hAnsi="仿宋" w:eastAsia="仿宋" w:cs="CESI黑体-GB2312"/>
          <w:sz w:val="32"/>
          <w:szCs w:val="32"/>
        </w:rPr>
        <w:t>，</w:t>
      </w:r>
      <w:r>
        <w:rPr>
          <w:rFonts w:hint="eastAsia" w:ascii="仿宋" w:hAnsi="仿宋" w:eastAsia="仿宋" w:cs="CESI黑体-GB2312"/>
          <w:sz w:val="32"/>
          <w:szCs w:val="32"/>
        </w:rPr>
        <w:t>按照</w:t>
      </w:r>
      <w:r>
        <w:rPr>
          <w:rFonts w:ascii="仿宋" w:hAnsi="仿宋" w:eastAsia="仿宋" w:cs="CESI黑体-GB2312"/>
          <w:sz w:val="32"/>
          <w:szCs w:val="32"/>
        </w:rPr>
        <w:t>《</w:t>
      </w:r>
      <w:r>
        <w:rPr>
          <w:rFonts w:hint="eastAsia" w:ascii="仿宋" w:hAnsi="仿宋" w:eastAsia="仿宋" w:cs="CESI黑体-GB2312"/>
          <w:sz w:val="32"/>
          <w:szCs w:val="32"/>
        </w:rPr>
        <w:t>高校</w:t>
      </w:r>
      <w:r>
        <w:rPr>
          <w:rFonts w:ascii="仿宋" w:hAnsi="仿宋" w:eastAsia="仿宋" w:cs="CESI黑体-GB2312"/>
          <w:sz w:val="32"/>
          <w:szCs w:val="32"/>
        </w:rPr>
        <w:t>科研平台优化重组</w:t>
      </w:r>
      <w:r>
        <w:rPr>
          <w:rFonts w:hint="eastAsia" w:ascii="仿宋" w:hAnsi="仿宋" w:eastAsia="仿宋" w:cs="CESI黑体-GB2312"/>
          <w:sz w:val="32"/>
          <w:szCs w:val="32"/>
        </w:rPr>
        <w:t>实施</w:t>
      </w:r>
      <w:r>
        <w:rPr>
          <w:rFonts w:ascii="仿宋" w:hAnsi="仿宋" w:eastAsia="仿宋" w:cs="CESI黑体-GB2312"/>
          <w:sz w:val="32"/>
          <w:szCs w:val="32"/>
        </w:rPr>
        <w:t>方案》</w:t>
      </w:r>
      <w:r>
        <w:rPr>
          <w:rFonts w:hint="eastAsia" w:ascii="仿宋" w:hAnsi="仿宋" w:eastAsia="仿宋" w:cs="CESI黑体-GB2312"/>
          <w:sz w:val="32"/>
          <w:szCs w:val="32"/>
        </w:rPr>
        <w:t>，</w:t>
      </w: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为更好地发挥省教育厅批建的高校科研平台在</w:t>
      </w:r>
      <w:r>
        <w:rPr>
          <w:rFonts w:hint="eastAsia" w:ascii="仿宋" w:hAnsi="仿宋" w:eastAsia="仿宋" w:cs="CESI黑体-GB2312"/>
          <w:sz w:val="32"/>
          <w:szCs w:val="32"/>
          <w:lang w:eastAsia="zh-CN"/>
        </w:rPr>
        <w:t>服务</w:t>
      </w: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辽宁</w:t>
      </w:r>
      <w:r>
        <w:rPr>
          <w:rFonts w:hint="eastAsia" w:ascii="仿宋" w:hAnsi="仿宋" w:eastAsia="仿宋" w:cs="CESI黑体-GB2312"/>
          <w:sz w:val="32"/>
          <w:szCs w:val="32"/>
          <w:lang w:eastAsia="zh-CN"/>
        </w:rPr>
        <w:t>县城经济、助力乡村振兴</w:t>
      </w: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的重要支撑作用，助力辽宁全面振兴新突破三年行动，特制定本方案。</w:t>
      </w:r>
    </w:p>
    <w:p>
      <w:pPr>
        <w:ind w:firstLine="640" w:firstLineChars="200"/>
        <w:rPr>
          <w:rFonts w:ascii="黑体" w:hAnsi="黑体" w:eastAsia="黑体" w:cs="CESI黑体-GB2312"/>
          <w:sz w:val="32"/>
          <w:szCs w:val="32"/>
        </w:rPr>
      </w:pPr>
      <w:r>
        <w:rPr>
          <w:rFonts w:hint="eastAsia" w:ascii="黑体" w:hAnsi="黑体" w:eastAsia="黑体" w:cs="CESI黑体-GB2312"/>
          <w:sz w:val="32"/>
          <w:szCs w:val="32"/>
        </w:rPr>
        <w:t>一、省高校科研平台现有情况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CESI黑体-GB2312"/>
          <w:sz w:val="32"/>
          <w:szCs w:val="32"/>
          <w:lang w:eastAsia="zh-CN"/>
        </w:rPr>
      </w:pP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对我校现有的省教育厅审批的</w:t>
      </w:r>
      <w:r>
        <w:rPr>
          <w:rFonts w:ascii="仿宋" w:hAnsi="仿宋" w:eastAsia="仿宋" w:cs="CESI黑体-GB2312"/>
          <w:sz w:val="32"/>
          <w:szCs w:val="32"/>
        </w:rPr>
        <w:t>科研平台</w:t>
      </w:r>
      <w:r>
        <w:rPr>
          <w:rFonts w:hint="eastAsia" w:ascii="仿宋" w:hAnsi="仿宋" w:eastAsia="仿宋" w:cs="CESI黑体-GB2312"/>
          <w:sz w:val="32"/>
          <w:szCs w:val="32"/>
        </w:rPr>
        <w:t>进行</w:t>
      </w:r>
      <w:r>
        <w:rPr>
          <w:rFonts w:ascii="仿宋" w:hAnsi="仿宋" w:eastAsia="仿宋" w:cs="CESI黑体-GB2312"/>
          <w:sz w:val="32"/>
          <w:szCs w:val="32"/>
        </w:rPr>
        <w:t>认真梳理，</w:t>
      </w:r>
      <w:r>
        <w:rPr>
          <w:rFonts w:hint="eastAsia" w:ascii="仿宋" w:hAnsi="仿宋" w:eastAsia="仿宋" w:cs="CESI黑体-GB2312"/>
          <w:sz w:val="32"/>
          <w:szCs w:val="32"/>
        </w:rPr>
        <w:t>我校</w:t>
      </w:r>
      <w:r>
        <w:rPr>
          <w:rFonts w:ascii="仿宋" w:hAnsi="仿宋" w:eastAsia="仿宋" w:cs="CESI黑体-GB2312"/>
          <w:sz w:val="32"/>
          <w:szCs w:val="32"/>
        </w:rPr>
        <w:t>现有辽宁省教育厅审批重点实验室</w:t>
      </w: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CESI黑体-GB2312"/>
          <w:sz w:val="32"/>
          <w:szCs w:val="32"/>
        </w:rPr>
        <w:t>个</w:t>
      </w:r>
      <w:r>
        <w:rPr>
          <w:rFonts w:hint="eastAsia" w:ascii="仿宋" w:hAnsi="仿宋" w:eastAsia="仿宋" w:cs="CESI黑体-GB2312"/>
          <w:sz w:val="32"/>
          <w:szCs w:val="32"/>
          <w:lang w:eastAsia="zh-CN"/>
        </w:rPr>
        <w:t>（设施园艺重点实验室）、</w:t>
      </w:r>
      <w:r>
        <w:rPr>
          <w:rFonts w:hint="eastAsia" w:ascii="仿宋" w:hAnsi="仿宋" w:eastAsia="仿宋" w:cs="CESI黑体-GB2312"/>
          <w:sz w:val="32"/>
          <w:szCs w:val="32"/>
        </w:rPr>
        <w:t>协同</w:t>
      </w:r>
      <w:r>
        <w:rPr>
          <w:rFonts w:ascii="仿宋" w:hAnsi="仿宋" w:eastAsia="仿宋" w:cs="CESI黑体-GB2312"/>
          <w:sz w:val="32"/>
          <w:szCs w:val="32"/>
        </w:rPr>
        <w:t>创新中心</w:t>
      </w: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CESI黑体-GB2312"/>
          <w:sz w:val="32"/>
          <w:szCs w:val="32"/>
        </w:rPr>
        <w:t>个</w:t>
      </w:r>
      <w:r>
        <w:rPr>
          <w:rFonts w:hint="eastAsia" w:ascii="仿宋" w:hAnsi="仿宋" w:eastAsia="仿宋" w:cs="CESI黑体-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辽宁动物健康养殖协同创新中心</w:t>
      </w:r>
      <w:r>
        <w:rPr>
          <w:rFonts w:hint="eastAsia" w:ascii="仿宋" w:hAnsi="仿宋" w:eastAsia="仿宋" w:cs="CESI黑体-GB2312"/>
          <w:sz w:val="32"/>
          <w:szCs w:val="32"/>
          <w:lang w:eastAsia="zh-CN"/>
        </w:rPr>
        <w:t>）。</w:t>
      </w:r>
    </w:p>
    <w:p>
      <w:pPr>
        <w:ind w:firstLine="640" w:firstLineChars="200"/>
        <w:rPr>
          <w:rFonts w:hint="eastAsia" w:ascii="仿宋" w:hAnsi="仿宋" w:eastAsia="仿宋" w:cs="CESI黑体-GB2312"/>
          <w:sz w:val="32"/>
          <w:szCs w:val="32"/>
          <w:lang w:eastAsia="zh-CN"/>
        </w:rPr>
      </w:pPr>
      <w:r>
        <w:rPr>
          <w:rFonts w:hint="eastAsia" w:ascii="仿宋" w:hAnsi="仿宋" w:eastAsia="仿宋" w:cs="CESI黑体-GB2312"/>
          <w:sz w:val="32"/>
          <w:szCs w:val="32"/>
          <w:lang w:eastAsia="zh-CN"/>
        </w:rPr>
        <w:t>设施园艺重点实验室是我院园艺技术专业的重点实验室，于2001年建设，2007年获批省级重点实验室。经15年的建设与发展，我院依托重点实验室，积极开展自然科学、教育教学、社会服务等各项研究，为辽宁省乃至整个北方地区农业生产一线培养农业科技人才2万余人，为推进农业技术进步，促进区域经济发展做出了巨大贡献。</w:t>
      </w:r>
    </w:p>
    <w:p>
      <w:pPr>
        <w:ind w:firstLine="640" w:firstLineChars="200"/>
        <w:rPr>
          <w:rFonts w:hint="eastAsia" w:ascii="仿宋" w:hAnsi="仿宋" w:eastAsia="仿宋" w:cs="CESI黑体-GB2312"/>
          <w:sz w:val="32"/>
          <w:szCs w:val="32"/>
          <w:lang w:eastAsia="zh-CN"/>
        </w:rPr>
      </w:pP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辽宁动物健康养殖协同创新中心前身为2011年组建的辽宁动物健康养殖研究中心，立足建立辽宁区域畜禽健康养殖模式，服务北方区域现代畜牧业快速发展，建立的“高标准、高科技、高水平”科教融汇平台，由辽宁农业职业技术学院和北京伟嘉集团实行产学研深度合作，依托辽宁省畜牧兽医技艺技能传承创新平台团队优势，2018年进入辽宁省协同创新中心建设行列。</w:t>
      </w:r>
    </w:p>
    <w:p>
      <w:pPr>
        <w:ind w:left="640"/>
        <w:rPr>
          <w:rFonts w:ascii="黑体" w:hAnsi="黑体" w:eastAsia="黑体" w:cs="CESI黑体-GB2312"/>
          <w:sz w:val="32"/>
          <w:szCs w:val="32"/>
        </w:rPr>
      </w:pPr>
      <w:r>
        <w:rPr>
          <w:rFonts w:hint="eastAsia" w:ascii="黑体" w:hAnsi="黑体" w:eastAsia="黑体" w:cs="CESI黑体-GB2312"/>
          <w:sz w:val="32"/>
          <w:szCs w:val="32"/>
        </w:rPr>
        <w:t>二、自评时间安排</w:t>
      </w:r>
    </w:p>
    <w:p>
      <w:pPr>
        <w:ind w:firstLine="640" w:firstLineChars="200"/>
        <w:rPr>
          <w:rFonts w:hint="eastAsia" w:ascii="仿宋" w:hAnsi="仿宋" w:eastAsia="仿宋" w:cs="CESI黑体-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7月～8月 各学院组织省教育厅平台自查自纠，并撰写自评报告；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9月1日～9月1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日 科技处开展形式审查，并组织专家组评审；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9月11日～9月12日 根据专家组意见开展修订、整改；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9月13日～9月1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日 公示；</w:t>
      </w:r>
    </w:p>
    <w:p>
      <w:pPr>
        <w:ind w:firstLine="640" w:firstLineChars="200"/>
        <w:rPr>
          <w:rFonts w:hint="eastAsia" w:ascii="仿宋" w:hAnsi="仿宋" w:eastAsia="仿宋" w:cs="CESI黑体-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9月20日 材料汇总并完成上报</w:t>
      </w:r>
    </w:p>
    <w:p>
      <w:pPr>
        <w:ind w:left="640"/>
        <w:rPr>
          <w:rFonts w:ascii="黑体" w:hAnsi="黑体" w:eastAsia="黑体" w:cs="CESI黑体-GB2312"/>
          <w:sz w:val="32"/>
          <w:szCs w:val="32"/>
        </w:rPr>
      </w:pPr>
      <w:r>
        <w:rPr>
          <w:rFonts w:hint="eastAsia" w:ascii="黑体" w:hAnsi="黑体" w:eastAsia="黑体" w:cs="CESI黑体-GB2312"/>
          <w:sz w:val="32"/>
          <w:szCs w:val="32"/>
        </w:rPr>
        <w:t>三、各类平台建设计划</w:t>
      </w:r>
    </w:p>
    <w:p>
      <w:pPr>
        <w:ind w:firstLine="640" w:firstLineChars="200"/>
        <w:rPr>
          <w:rFonts w:hint="eastAsia" w:ascii="仿宋" w:hAnsi="仿宋" w:eastAsia="仿宋" w:cs="CESI黑体-GB2312"/>
          <w:sz w:val="32"/>
          <w:szCs w:val="32"/>
          <w:lang w:eastAsia="zh-CN"/>
        </w:rPr>
      </w:pP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严格</w:t>
      </w:r>
      <w:r>
        <w:rPr>
          <w:rFonts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</w:rPr>
        <w:t>辽宁省高校科研平台优化重组实施方案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ascii="仿宋" w:hAnsi="仿宋" w:eastAsia="仿宋"/>
          <w:sz w:val="32"/>
          <w:szCs w:val="32"/>
        </w:rPr>
        <w:t>文件要求，</w:t>
      </w:r>
      <w:r>
        <w:rPr>
          <w:rFonts w:hint="eastAsia" w:ascii="仿宋" w:hAnsi="仿宋" w:eastAsia="仿宋" w:cs="CESI黑体-GB2312"/>
          <w:sz w:val="32"/>
          <w:szCs w:val="32"/>
        </w:rPr>
        <w:t>结合各科研平台的建设实际，通过充实、调整、合并、撤销等方式对现有科研平台开展优化重组</w:t>
      </w:r>
      <w:r>
        <w:rPr>
          <w:rFonts w:hint="eastAsia" w:ascii="仿宋" w:hAnsi="仿宋" w:eastAsia="仿宋" w:cs="CESI黑体-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CESI黑体-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CESI黑体-GB2312"/>
          <w:sz w:val="32"/>
          <w:szCs w:val="32"/>
          <w:lang w:eastAsia="zh-CN"/>
        </w:rPr>
        <w:t>设施园艺重点实验室、</w:t>
      </w: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辽宁动物健康养殖协同创新中心两大平台维持不变。</w:t>
      </w:r>
    </w:p>
    <w:p>
      <w:pPr>
        <w:ind w:firstLine="640" w:firstLineChars="200"/>
        <w:rPr>
          <w:rFonts w:hint="default" w:ascii="仿宋" w:hAnsi="仿宋" w:eastAsia="仿宋" w:cs="CESI黑体-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CESI黑体-GB2312"/>
          <w:sz w:val="32"/>
          <w:szCs w:val="32"/>
          <w:lang w:val="en-US" w:eastAsia="zh-CN"/>
        </w:rPr>
        <w:t>3.学院将按照《辽宁省教育厅重点实验室建设与运行管理办法》要求，继续加强平台建设，开展有组织科研攻关，产出高水平成果，以更高质量服务国家乡村振兴战略和粮食安全战略，助力辽宁全面振兴。</w:t>
      </w:r>
    </w:p>
    <w:p>
      <w:pPr>
        <w:numPr>
          <w:ilvl w:val="0"/>
          <w:numId w:val="1"/>
        </w:numPr>
        <w:ind w:left="640"/>
        <w:rPr>
          <w:rFonts w:hint="eastAsia" w:ascii="黑体" w:hAnsi="黑体" w:eastAsia="黑体" w:cs="CESI黑体-GB2312"/>
          <w:sz w:val="32"/>
          <w:szCs w:val="32"/>
        </w:rPr>
      </w:pPr>
      <w:r>
        <w:rPr>
          <w:rFonts w:hint="eastAsia" w:ascii="黑体" w:hAnsi="黑体" w:eastAsia="黑体" w:cs="CESI黑体-GB2312"/>
          <w:sz w:val="32"/>
          <w:szCs w:val="32"/>
        </w:rPr>
        <w:t>保障措施</w:t>
      </w:r>
    </w:p>
    <w:p>
      <w:pPr>
        <w:ind w:left="640"/>
        <w:rPr>
          <w:rFonts w:ascii="仿宋" w:hAnsi="仿宋" w:eastAsia="仿宋" w:cs="仿宋_GB2312"/>
          <w:b w:val="0"/>
          <w:bCs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/>
          <w:sz w:val="32"/>
          <w:szCs w:val="32"/>
          <w:lang w:val="en-US" w:eastAsia="zh-CN"/>
        </w:rPr>
        <w:t>1.成立</w:t>
      </w:r>
      <w:r>
        <w:rPr>
          <w:rFonts w:hint="eastAsia" w:ascii="仿宋" w:hAnsi="仿宋" w:eastAsia="仿宋" w:cs="仿宋_GB2312"/>
          <w:b w:val="0"/>
          <w:bCs/>
          <w:sz w:val="32"/>
          <w:szCs w:val="32"/>
        </w:rPr>
        <w:t>领导小组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组长：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副</w:t>
      </w:r>
      <w:r>
        <w:rPr>
          <w:rFonts w:hint="eastAsia" w:ascii="仿宋" w:hAnsi="仿宋" w:eastAsia="仿宋" w:cs="仿宋_GB2312"/>
          <w:sz w:val="32"/>
          <w:szCs w:val="32"/>
        </w:rPr>
        <w:t>校长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副组长：科技处处长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成员：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计财处处长、人事处处长、资产处处长、农学园艺学院</w:t>
      </w:r>
      <w:r>
        <w:rPr>
          <w:rFonts w:hint="eastAsia" w:ascii="仿宋" w:hAnsi="仿宋" w:eastAsia="仿宋" w:cs="仿宋_GB2312"/>
          <w:sz w:val="32"/>
          <w:szCs w:val="32"/>
        </w:rPr>
        <w:t>院长、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畜牧兽医</w:t>
      </w:r>
      <w:r>
        <w:rPr>
          <w:rFonts w:hint="eastAsia" w:ascii="仿宋" w:hAnsi="仿宋" w:eastAsia="仿宋" w:cs="仿宋_GB2312"/>
          <w:sz w:val="32"/>
          <w:szCs w:val="32"/>
        </w:rPr>
        <w:t>学院院长。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秘书：科技处副处长</w:t>
      </w:r>
    </w:p>
    <w:p>
      <w:pPr>
        <w:ind w:left="64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办公室设在科技处。</w:t>
      </w:r>
    </w:p>
    <w:p>
      <w:pPr>
        <w:ind w:firstLine="640" w:firstLineChars="200"/>
        <w:rPr>
          <w:rFonts w:hint="default" w:ascii="黑体" w:hAnsi="黑体" w:eastAsia="黑体" w:cs="CESI黑体-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2.统一思想，加强学习，凝聚共识，优化设计，根据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辽宁省高校科研平台优化重组实施方案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《辽宁省教育厅重点实验室建设与运行管理办法》《辽宁省高等学校重大科技平台管理办法》等文件精神和要求，结合学院服务面向，根据各平台的功能定位，合理规划、科学建设，责任到人，形成发展定位明确、功能优化，协作分工合理，负责任有担当的高校科研创新平台。</w:t>
      </w:r>
    </w:p>
    <w:p>
      <w:pPr>
        <w:numPr>
          <w:ilvl w:val="0"/>
          <w:numId w:val="0"/>
        </w:num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CESI黑体-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学校相关部门</w:t>
      </w:r>
      <w:r>
        <w:rPr>
          <w:rFonts w:ascii="仿宋" w:hAnsi="仿宋" w:eastAsia="仿宋" w:cs="仿宋_GB2312"/>
          <w:sz w:val="32"/>
          <w:szCs w:val="32"/>
        </w:rPr>
        <w:t>加强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制度建设，强化</w:t>
      </w:r>
      <w:r>
        <w:rPr>
          <w:rFonts w:ascii="仿宋" w:hAnsi="仿宋" w:eastAsia="仿宋" w:cs="仿宋_GB2312"/>
          <w:sz w:val="32"/>
          <w:szCs w:val="32"/>
        </w:rPr>
        <w:t>对实施方案贯彻落实的</w:t>
      </w:r>
      <w:r>
        <w:rPr>
          <w:rFonts w:hint="eastAsia" w:ascii="仿宋" w:hAnsi="仿宋" w:eastAsia="仿宋" w:cs="仿宋_GB2312"/>
          <w:sz w:val="32"/>
          <w:szCs w:val="32"/>
        </w:rPr>
        <w:t>监督</w:t>
      </w:r>
      <w:r>
        <w:rPr>
          <w:rFonts w:ascii="仿宋" w:hAnsi="仿宋" w:eastAsia="仿宋" w:cs="仿宋_GB2312"/>
          <w:sz w:val="32"/>
          <w:szCs w:val="32"/>
        </w:rPr>
        <w:t>检查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整改。</w:t>
      </w:r>
      <w:r>
        <w:rPr>
          <w:rFonts w:ascii="仿宋" w:hAnsi="仿宋" w:eastAsia="仿宋" w:cs="仿宋_GB2312"/>
          <w:sz w:val="32"/>
          <w:szCs w:val="32"/>
        </w:rPr>
        <w:t>实时掌握工作进度和落实情况。健全约谈和问责机制，对消极应付、推进迟缓的及时约谈提醒，对工作不负责、落实不得力的严肃追责问责。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ind w:firstLine="640"/>
        <w:rPr>
          <w:rFonts w:hint="default" w:ascii="黑体" w:hAnsi="黑体" w:eastAsia="黑体" w:cs="CESI黑体-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95A7DB-C836-40DA-86D1-6BC141BBE6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B757169-3266-4457-ACEF-E6C06DE6BF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89D6592-353A-4A03-91B8-73119C862C6D}"/>
  </w:font>
  <w:font w:name="CESI黑体-GB2312">
    <w:altName w:val="微软雅黑"/>
    <w:panose1 w:val="00000000000000000000"/>
    <w:charset w:val="00"/>
    <w:family w:val="auto"/>
    <w:pitch w:val="default"/>
    <w:sig w:usb0="00000000" w:usb1="00000000" w:usb2="00000012" w:usb3="00000000" w:csb0="0004000F" w:csb1="00000000"/>
    <w:embedRegular r:id="rId4" w:fontKey="{16BB17F3-12FC-4553-A07B-56BD7CDC73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D8B859E-EAE9-4CFE-82E6-0F6894F73AF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36A19B"/>
    <w:multiLevelType w:val="singleLevel"/>
    <w:tmpl w:val="BD36A19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kM2NhZjEzMzAzMWY4Yjc4ZTZjNDEyMzAxMmNlMGUifQ=="/>
  </w:docVars>
  <w:rsids>
    <w:rsidRoot w:val="00A0228F"/>
    <w:rsid w:val="00006464"/>
    <w:rsid w:val="000578A2"/>
    <w:rsid w:val="00225382"/>
    <w:rsid w:val="0029577C"/>
    <w:rsid w:val="0030344C"/>
    <w:rsid w:val="00515026"/>
    <w:rsid w:val="006C061D"/>
    <w:rsid w:val="00920DCF"/>
    <w:rsid w:val="00A0228F"/>
    <w:rsid w:val="00CF4BFE"/>
    <w:rsid w:val="00D52547"/>
    <w:rsid w:val="00DC631B"/>
    <w:rsid w:val="00E95E10"/>
    <w:rsid w:val="00FC0376"/>
    <w:rsid w:val="07F9667E"/>
    <w:rsid w:val="0EBD4CEA"/>
    <w:rsid w:val="0FBF4992"/>
    <w:rsid w:val="19747105"/>
    <w:rsid w:val="30B079E6"/>
    <w:rsid w:val="43481FF4"/>
    <w:rsid w:val="5EDB41E5"/>
    <w:rsid w:val="6F4D07FA"/>
    <w:rsid w:val="70533CDB"/>
    <w:rsid w:val="72E045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表 6 彩色 - 着色 51"/>
    <w:basedOn w:val="4"/>
    <w:qFormat/>
    <w:uiPriority w:val="51"/>
    <w:rPr>
      <w:color w:val="2E75B5" w:themeColor="accent5" w:themeShade="BF"/>
    </w:rPr>
    <w:tblPr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1212</Words>
  <Characters>1242</Characters>
  <Lines>1</Lines>
  <Paragraphs>1</Paragraphs>
  <TotalTime>23</TotalTime>
  <ScaleCrop>false</ScaleCrop>
  <LinksUpToDate>false</LinksUpToDate>
  <CharactersWithSpaces>1271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2023-06-11T14:55:00Z</dcterms:created>
  <dc:creator>some one</dc:creator>
  <cp:lastModifiedBy>王利忠</cp:lastModifiedBy>
  <dcterms:modified xsi:type="dcterms:W3CDTF">2023-09-14T06:30:10Z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089BA6734650401AA8B4BD8B93E744EE_12</vt:lpwstr>
  </property>
</Properties>
</file>