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n-US" w:eastAsia="zh-CN"/>
        </w:rPr>
      </w:pPr>
      <w:r>
        <w:rPr>
          <w:rFonts w:hint="eastAsia"/>
          <w:b/>
          <w:bCs/>
          <w:sz w:val="36"/>
          <w:szCs w:val="36"/>
          <w:lang w:val="en-US" w:eastAsia="zh-CN"/>
        </w:rPr>
        <w:t>辽农职院职业技能等级认定预报名统计通知</w:t>
      </w:r>
    </w:p>
    <w:p>
      <w:pPr>
        <w:rPr>
          <w:rFonts w:hint="eastAsia"/>
          <w:b/>
          <w:bCs/>
          <w:sz w:val="28"/>
          <w:szCs w:val="28"/>
          <w:lang w:val="en-US" w:eastAsia="zh-CN"/>
        </w:rPr>
      </w:pPr>
      <w:r>
        <w:rPr>
          <w:rFonts w:hint="eastAsia"/>
          <w:b/>
          <w:bCs/>
          <w:sz w:val="28"/>
          <w:szCs w:val="28"/>
          <w:lang w:val="en-US" w:eastAsia="zh-CN"/>
        </w:rPr>
        <w:t>各二级学院：</w:t>
      </w:r>
    </w:p>
    <w:p>
      <w:pPr>
        <w:ind w:firstLine="420"/>
        <w:rPr>
          <w:rFonts w:hint="eastAsia"/>
          <w:sz w:val="28"/>
          <w:szCs w:val="28"/>
          <w:lang w:val="en-US" w:eastAsia="zh-CN"/>
        </w:rPr>
      </w:pPr>
      <w:r>
        <w:rPr>
          <w:rFonts w:hint="eastAsia"/>
          <w:sz w:val="28"/>
          <w:szCs w:val="28"/>
          <w:lang w:val="en-US" w:eastAsia="zh-CN"/>
        </w:rPr>
        <w:t>辽宁农业职业技术学院职业技能等级认定中心已完成辽宁省政务服务网备案，现可以面向全校教师和学生组织职业技能等级认定。在认定前需要向营口市人社局上报计划，现需要统计各二级学院各职业、工种报名情况，以便上级主管部门根据工作实际情况安排考核督导。</w:t>
      </w:r>
    </w:p>
    <w:p>
      <w:pPr>
        <w:ind w:firstLine="420"/>
        <w:rPr>
          <w:rFonts w:hint="default"/>
          <w:sz w:val="28"/>
          <w:szCs w:val="28"/>
          <w:lang w:val="en-US" w:eastAsia="zh-CN"/>
        </w:rPr>
      </w:pPr>
      <w:r>
        <w:rPr>
          <w:rFonts w:hint="eastAsia"/>
          <w:sz w:val="28"/>
          <w:szCs w:val="28"/>
          <w:lang w:val="en-US" w:eastAsia="zh-CN"/>
        </w:rPr>
        <w:t>请各二级学院按国家人社部批复的我院可认定的工种来上报，具体申报等级查询国家技能人才评价工作网上的《国家职业技能标准》中的申报条件。（请填写下表，教师和学生分别填写。并于2024.3.15上午将填好的表格发给王丽君老师）。</w:t>
      </w:r>
    </w:p>
    <w:p>
      <w:pPr>
        <w:ind w:firstLine="420"/>
        <w:jc w:val="center"/>
        <w:rPr>
          <w:rFonts w:hint="eastAsia"/>
          <w:b/>
          <w:bCs/>
          <w:sz w:val="28"/>
          <w:szCs w:val="28"/>
          <w:lang w:val="en-US" w:eastAsia="zh-CN"/>
        </w:rPr>
      </w:pPr>
    </w:p>
    <w:p>
      <w:pPr>
        <w:ind w:firstLine="420"/>
        <w:jc w:val="center"/>
        <w:rPr>
          <w:rFonts w:hint="eastAsia"/>
          <w:b/>
          <w:bCs/>
          <w:sz w:val="28"/>
          <w:szCs w:val="28"/>
          <w:lang w:val="en-US" w:eastAsia="zh-CN"/>
        </w:rPr>
      </w:pPr>
    </w:p>
    <w:p>
      <w:pPr>
        <w:ind w:firstLine="420"/>
        <w:jc w:val="center"/>
        <w:rPr>
          <w:rFonts w:hint="eastAsia"/>
          <w:b/>
          <w:bCs/>
          <w:sz w:val="28"/>
          <w:szCs w:val="28"/>
          <w:lang w:val="en-US" w:eastAsia="zh-CN"/>
        </w:rPr>
      </w:pPr>
    </w:p>
    <w:p>
      <w:pPr>
        <w:ind w:firstLine="420"/>
        <w:jc w:val="center"/>
        <w:rPr>
          <w:rFonts w:hint="eastAsia"/>
          <w:b/>
          <w:bCs/>
          <w:sz w:val="28"/>
          <w:szCs w:val="28"/>
          <w:lang w:val="en-US" w:eastAsia="zh-CN"/>
        </w:rPr>
      </w:pPr>
    </w:p>
    <w:p>
      <w:pPr>
        <w:ind w:firstLine="420"/>
        <w:jc w:val="center"/>
        <w:rPr>
          <w:rFonts w:hint="eastAsia"/>
          <w:b/>
          <w:bCs/>
          <w:sz w:val="28"/>
          <w:szCs w:val="28"/>
          <w:lang w:val="en-US" w:eastAsia="zh-CN"/>
        </w:rPr>
      </w:pPr>
    </w:p>
    <w:p>
      <w:pPr>
        <w:jc w:val="center"/>
        <w:rPr>
          <w:rFonts w:hint="default"/>
          <w:b/>
          <w:bCs/>
          <w:sz w:val="28"/>
          <w:szCs w:val="28"/>
          <w:lang w:val="en-US" w:eastAsia="zh-CN"/>
        </w:rPr>
      </w:pPr>
      <w:r>
        <w:rPr>
          <w:rFonts w:hint="eastAsia"/>
          <w:b/>
          <w:bCs/>
          <w:sz w:val="28"/>
          <w:szCs w:val="28"/>
          <w:lang w:val="en-US" w:eastAsia="zh-CN"/>
        </w:rPr>
        <w:t>辽农职院职业技能等级认定预报名统计</w:t>
      </w:r>
    </w:p>
    <w:tbl>
      <w:tblPr>
        <w:tblStyle w:val="3"/>
        <w:tblpPr w:leftFromText="180" w:rightFromText="180" w:vertAnchor="text" w:horzAnchor="page" w:tblpX="1592" w:tblpY="279"/>
        <w:tblOverlap w:val="never"/>
        <w:tblW w:w="13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1815"/>
        <w:gridCol w:w="1995"/>
        <w:gridCol w:w="1110"/>
        <w:gridCol w:w="1185"/>
        <w:gridCol w:w="1215"/>
        <w:gridCol w:w="1245"/>
        <w:gridCol w:w="1200"/>
        <w:gridCol w:w="132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11" w:type="dxa"/>
            <w:vMerge w:val="restart"/>
          </w:tcPr>
          <w:p>
            <w:pPr>
              <w:jc w:val="center"/>
              <w:rPr>
                <w:rFonts w:hint="eastAsia"/>
                <w:b/>
                <w:bCs/>
                <w:sz w:val="28"/>
                <w:szCs w:val="28"/>
                <w:vertAlign w:val="baseline"/>
                <w:lang w:val="en-US" w:eastAsia="zh-CN"/>
              </w:rPr>
            </w:pPr>
            <w:r>
              <w:rPr>
                <w:rFonts w:hint="eastAsia"/>
                <w:b/>
                <w:bCs/>
                <w:sz w:val="28"/>
                <w:szCs w:val="28"/>
                <w:vertAlign w:val="baseline"/>
                <w:lang w:val="en-US" w:eastAsia="zh-CN"/>
              </w:rPr>
              <w:t>二级</w:t>
            </w:r>
          </w:p>
          <w:p>
            <w:pPr>
              <w:jc w:val="center"/>
              <w:rPr>
                <w:rFonts w:hint="default"/>
                <w:b/>
                <w:bCs/>
                <w:sz w:val="28"/>
                <w:szCs w:val="28"/>
                <w:vertAlign w:val="baseline"/>
                <w:lang w:val="en-US" w:eastAsia="zh-CN"/>
              </w:rPr>
            </w:pPr>
            <w:r>
              <w:rPr>
                <w:rFonts w:hint="eastAsia"/>
                <w:b/>
                <w:bCs/>
                <w:sz w:val="28"/>
                <w:szCs w:val="28"/>
                <w:vertAlign w:val="baseline"/>
                <w:lang w:val="en-US" w:eastAsia="zh-CN"/>
              </w:rPr>
              <w:t>学院</w:t>
            </w:r>
          </w:p>
        </w:tc>
        <w:tc>
          <w:tcPr>
            <w:tcW w:w="1815" w:type="dxa"/>
            <w:vMerge w:val="restart"/>
            <w:vAlign w:val="center"/>
          </w:tcPr>
          <w:p>
            <w:pPr>
              <w:jc w:val="center"/>
              <w:rPr>
                <w:rFonts w:hint="default" w:asciiTheme="minorHAnsi" w:hAnsiTheme="minorHAnsi" w:eastAsiaTheme="minorEastAsia" w:cstheme="minorBidi"/>
                <w:b/>
                <w:bCs/>
                <w:kern w:val="2"/>
                <w:sz w:val="28"/>
                <w:szCs w:val="28"/>
                <w:vertAlign w:val="baseline"/>
                <w:lang w:val="en-US" w:eastAsia="zh-CN" w:bidi="ar-SA"/>
              </w:rPr>
            </w:pPr>
            <w:r>
              <w:rPr>
                <w:rFonts w:hint="eastAsia"/>
                <w:b/>
                <w:bCs/>
                <w:sz w:val="28"/>
                <w:szCs w:val="28"/>
                <w:vertAlign w:val="baseline"/>
                <w:lang w:val="en-US" w:eastAsia="zh-CN"/>
              </w:rPr>
              <w:t>职业</w:t>
            </w:r>
          </w:p>
        </w:tc>
        <w:tc>
          <w:tcPr>
            <w:tcW w:w="1995" w:type="dxa"/>
            <w:vMerge w:val="restart"/>
            <w:vAlign w:val="center"/>
          </w:tcPr>
          <w:p>
            <w:pPr>
              <w:jc w:val="center"/>
              <w:rPr>
                <w:rFonts w:hint="default" w:asciiTheme="minorHAnsi" w:hAnsiTheme="minorHAnsi" w:eastAsiaTheme="minorEastAsia" w:cstheme="minorBidi"/>
                <w:b/>
                <w:bCs/>
                <w:kern w:val="2"/>
                <w:sz w:val="28"/>
                <w:szCs w:val="28"/>
                <w:vertAlign w:val="baseline"/>
                <w:lang w:val="en-US" w:eastAsia="zh-CN" w:bidi="ar-SA"/>
              </w:rPr>
            </w:pPr>
            <w:r>
              <w:rPr>
                <w:rFonts w:hint="eastAsia"/>
                <w:b/>
                <w:bCs/>
                <w:sz w:val="28"/>
                <w:szCs w:val="28"/>
                <w:vertAlign w:val="baseline"/>
                <w:lang w:val="en-US" w:eastAsia="zh-CN"/>
              </w:rPr>
              <w:t>工种</w:t>
            </w:r>
          </w:p>
        </w:tc>
        <w:tc>
          <w:tcPr>
            <w:tcW w:w="5955" w:type="dxa"/>
            <w:gridSpan w:val="5"/>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预报名人数</w:t>
            </w:r>
          </w:p>
        </w:tc>
        <w:tc>
          <w:tcPr>
            <w:tcW w:w="1320" w:type="dxa"/>
            <w:vMerge w:val="restart"/>
            <w:vAlign w:val="top"/>
          </w:tcPr>
          <w:p>
            <w:pPr>
              <w:jc w:val="center"/>
              <w:rPr>
                <w:rFonts w:hint="default" w:asciiTheme="minorHAnsi" w:hAnsiTheme="minorHAnsi" w:eastAsiaTheme="minorEastAsia" w:cstheme="minorBidi"/>
                <w:b/>
                <w:bCs/>
                <w:kern w:val="2"/>
                <w:sz w:val="28"/>
                <w:szCs w:val="28"/>
                <w:vertAlign w:val="baseline"/>
                <w:lang w:val="en-US" w:eastAsia="zh-CN" w:bidi="ar-SA"/>
              </w:rPr>
            </w:pPr>
            <w:r>
              <w:rPr>
                <w:rFonts w:hint="eastAsia"/>
                <w:b/>
                <w:bCs/>
                <w:sz w:val="28"/>
                <w:szCs w:val="28"/>
                <w:vertAlign w:val="baseline"/>
                <w:lang w:val="en-US" w:eastAsia="zh-CN"/>
              </w:rPr>
              <w:t>预计考核时间</w:t>
            </w:r>
          </w:p>
        </w:tc>
        <w:tc>
          <w:tcPr>
            <w:tcW w:w="1485" w:type="dxa"/>
            <w:vMerge w:val="restart"/>
            <w:vAlign w:val="center"/>
          </w:tcPr>
          <w:p>
            <w:pPr>
              <w:jc w:val="center"/>
              <w:rPr>
                <w:rFonts w:hint="default" w:asciiTheme="minorHAnsi" w:hAnsiTheme="minorHAnsi" w:eastAsiaTheme="minorEastAsia" w:cstheme="minorBidi"/>
                <w:b/>
                <w:bCs/>
                <w:kern w:val="2"/>
                <w:sz w:val="28"/>
                <w:szCs w:val="28"/>
                <w:vertAlign w:val="baseline"/>
                <w:lang w:val="en-US" w:eastAsia="zh-CN" w:bidi="ar-SA"/>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11" w:type="dxa"/>
            <w:vMerge w:val="continue"/>
          </w:tcPr>
          <w:p>
            <w:pPr>
              <w:jc w:val="center"/>
              <w:rPr>
                <w:rFonts w:hint="eastAsia"/>
                <w:b/>
                <w:bCs/>
                <w:sz w:val="28"/>
                <w:szCs w:val="28"/>
                <w:vertAlign w:val="baseline"/>
                <w:lang w:val="en-US" w:eastAsia="zh-CN"/>
              </w:rPr>
            </w:pPr>
          </w:p>
        </w:tc>
        <w:tc>
          <w:tcPr>
            <w:tcW w:w="1815" w:type="dxa"/>
            <w:vMerge w:val="continue"/>
            <w:vAlign w:val="top"/>
          </w:tcPr>
          <w:p>
            <w:pPr>
              <w:jc w:val="center"/>
              <w:rPr>
                <w:rFonts w:hint="eastAsia"/>
                <w:b/>
                <w:bCs/>
                <w:sz w:val="28"/>
                <w:szCs w:val="28"/>
                <w:vertAlign w:val="baseline"/>
                <w:lang w:val="en-US" w:eastAsia="zh-CN"/>
              </w:rPr>
            </w:pPr>
          </w:p>
        </w:tc>
        <w:tc>
          <w:tcPr>
            <w:tcW w:w="1995" w:type="dxa"/>
            <w:vMerge w:val="continue"/>
            <w:vAlign w:val="top"/>
          </w:tcPr>
          <w:p>
            <w:pPr>
              <w:jc w:val="center"/>
              <w:rPr>
                <w:rFonts w:hint="eastAsia"/>
                <w:b/>
                <w:bCs/>
                <w:sz w:val="28"/>
                <w:szCs w:val="28"/>
                <w:vertAlign w:val="baseline"/>
                <w:lang w:val="en-US" w:eastAsia="zh-CN"/>
              </w:rPr>
            </w:pPr>
          </w:p>
        </w:tc>
        <w:tc>
          <w:tcPr>
            <w:tcW w:w="1110" w:type="dxa"/>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5级</w:t>
            </w:r>
          </w:p>
        </w:tc>
        <w:tc>
          <w:tcPr>
            <w:tcW w:w="1185" w:type="dxa"/>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4级</w:t>
            </w:r>
          </w:p>
        </w:tc>
        <w:tc>
          <w:tcPr>
            <w:tcW w:w="1215" w:type="dxa"/>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3级</w:t>
            </w:r>
          </w:p>
        </w:tc>
        <w:tc>
          <w:tcPr>
            <w:tcW w:w="1245" w:type="dxa"/>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2级</w:t>
            </w:r>
          </w:p>
        </w:tc>
        <w:tc>
          <w:tcPr>
            <w:tcW w:w="1200" w:type="dxa"/>
            <w:vAlign w:val="top"/>
          </w:tcPr>
          <w:p>
            <w:pPr>
              <w:jc w:val="center"/>
              <w:rPr>
                <w:rFonts w:hint="default"/>
                <w:b/>
                <w:bCs/>
                <w:sz w:val="28"/>
                <w:szCs w:val="28"/>
                <w:vertAlign w:val="baseline"/>
                <w:lang w:val="en-US" w:eastAsia="zh-CN"/>
              </w:rPr>
            </w:pPr>
            <w:r>
              <w:rPr>
                <w:rFonts w:hint="eastAsia"/>
                <w:b/>
                <w:bCs/>
                <w:sz w:val="28"/>
                <w:szCs w:val="28"/>
                <w:vertAlign w:val="baseline"/>
                <w:lang w:val="en-US" w:eastAsia="zh-CN"/>
              </w:rPr>
              <w:t>1级</w:t>
            </w:r>
          </w:p>
        </w:tc>
        <w:tc>
          <w:tcPr>
            <w:tcW w:w="1320" w:type="dxa"/>
            <w:vMerge w:val="continue"/>
            <w:vAlign w:val="top"/>
          </w:tcPr>
          <w:p>
            <w:pPr>
              <w:jc w:val="center"/>
              <w:rPr>
                <w:rFonts w:hint="eastAsia"/>
                <w:b/>
                <w:bCs/>
                <w:sz w:val="28"/>
                <w:szCs w:val="28"/>
                <w:vertAlign w:val="baseline"/>
                <w:lang w:val="en-US" w:eastAsia="zh-CN"/>
              </w:rPr>
            </w:pPr>
          </w:p>
        </w:tc>
        <w:tc>
          <w:tcPr>
            <w:tcW w:w="1485" w:type="dxa"/>
            <w:vMerge w:val="continue"/>
            <w:vAlign w:val="top"/>
          </w:tcPr>
          <w:p>
            <w:pPr>
              <w:jc w:val="center"/>
              <w:rPr>
                <w:rFonts w:hint="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jc w:val="center"/>
              <w:rPr>
                <w:rFonts w:hint="default"/>
                <w:sz w:val="28"/>
                <w:szCs w:val="28"/>
                <w:vertAlign w:val="baseline"/>
                <w:lang w:val="en-US" w:eastAsia="zh-CN"/>
              </w:rPr>
            </w:pPr>
          </w:p>
        </w:tc>
        <w:tc>
          <w:tcPr>
            <w:tcW w:w="1815" w:type="dxa"/>
          </w:tcPr>
          <w:p>
            <w:pPr>
              <w:jc w:val="center"/>
              <w:rPr>
                <w:rFonts w:hint="default"/>
                <w:sz w:val="28"/>
                <w:szCs w:val="28"/>
                <w:vertAlign w:val="baseline"/>
                <w:lang w:val="en-US" w:eastAsia="zh-CN"/>
              </w:rPr>
            </w:pPr>
          </w:p>
        </w:tc>
        <w:tc>
          <w:tcPr>
            <w:tcW w:w="1995" w:type="dxa"/>
          </w:tcPr>
          <w:p>
            <w:pPr>
              <w:jc w:val="center"/>
              <w:rPr>
                <w:rFonts w:hint="default"/>
                <w:sz w:val="28"/>
                <w:szCs w:val="28"/>
                <w:vertAlign w:val="baseline"/>
                <w:lang w:val="en-US" w:eastAsia="zh-CN"/>
              </w:rPr>
            </w:pPr>
          </w:p>
        </w:tc>
        <w:tc>
          <w:tcPr>
            <w:tcW w:w="1110" w:type="dxa"/>
          </w:tcPr>
          <w:p>
            <w:pPr>
              <w:jc w:val="center"/>
              <w:rPr>
                <w:rFonts w:hint="default"/>
                <w:sz w:val="28"/>
                <w:szCs w:val="28"/>
                <w:vertAlign w:val="baseline"/>
                <w:lang w:val="en-US" w:eastAsia="zh-CN"/>
              </w:rPr>
            </w:pPr>
          </w:p>
        </w:tc>
        <w:tc>
          <w:tcPr>
            <w:tcW w:w="1185" w:type="dxa"/>
          </w:tcPr>
          <w:p>
            <w:pPr>
              <w:jc w:val="center"/>
              <w:rPr>
                <w:rFonts w:hint="default"/>
                <w:sz w:val="28"/>
                <w:szCs w:val="28"/>
                <w:vertAlign w:val="baseline"/>
                <w:lang w:val="en-US" w:eastAsia="zh-CN"/>
              </w:rPr>
            </w:pPr>
          </w:p>
        </w:tc>
        <w:tc>
          <w:tcPr>
            <w:tcW w:w="1215" w:type="dxa"/>
          </w:tcPr>
          <w:p>
            <w:pPr>
              <w:jc w:val="center"/>
              <w:rPr>
                <w:rFonts w:hint="default"/>
                <w:sz w:val="28"/>
                <w:szCs w:val="28"/>
                <w:vertAlign w:val="baseline"/>
                <w:lang w:val="en-US" w:eastAsia="zh-CN"/>
              </w:rPr>
            </w:pPr>
          </w:p>
        </w:tc>
        <w:tc>
          <w:tcPr>
            <w:tcW w:w="1245" w:type="dxa"/>
          </w:tcPr>
          <w:p>
            <w:pPr>
              <w:jc w:val="center"/>
              <w:rPr>
                <w:rFonts w:hint="default"/>
                <w:sz w:val="28"/>
                <w:szCs w:val="28"/>
                <w:vertAlign w:val="baseline"/>
                <w:lang w:val="en-US" w:eastAsia="zh-CN"/>
              </w:rPr>
            </w:pPr>
          </w:p>
        </w:tc>
        <w:tc>
          <w:tcPr>
            <w:tcW w:w="1200" w:type="dxa"/>
          </w:tcPr>
          <w:p>
            <w:pPr>
              <w:jc w:val="center"/>
              <w:rPr>
                <w:rFonts w:hint="default"/>
                <w:sz w:val="28"/>
                <w:szCs w:val="28"/>
                <w:vertAlign w:val="baseline"/>
                <w:lang w:val="en-US" w:eastAsia="zh-CN"/>
              </w:rPr>
            </w:pPr>
          </w:p>
        </w:tc>
        <w:tc>
          <w:tcPr>
            <w:tcW w:w="1320" w:type="dxa"/>
          </w:tcPr>
          <w:p>
            <w:pPr>
              <w:jc w:val="center"/>
              <w:rPr>
                <w:rFonts w:hint="default"/>
                <w:sz w:val="28"/>
                <w:szCs w:val="28"/>
                <w:vertAlign w:val="baseline"/>
                <w:lang w:val="en-US" w:eastAsia="zh-CN"/>
              </w:rPr>
            </w:pPr>
          </w:p>
        </w:tc>
        <w:tc>
          <w:tcPr>
            <w:tcW w:w="1485" w:type="dxa"/>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jc w:val="center"/>
              <w:rPr>
                <w:rFonts w:hint="default"/>
                <w:sz w:val="28"/>
                <w:szCs w:val="28"/>
                <w:vertAlign w:val="baseline"/>
                <w:lang w:val="en-US" w:eastAsia="zh-CN"/>
              </w:rPr>
            </w:pPr>
          </w:p>
        </w:tc>
        <w:tc>
          <w:tcPr>
            <w:tcW w:w="1815" w:type="dxa"/>
          </w:tcPr>
          <w:p>
            <w:pPr>
              <w:jc w:val="center"/>
              <w:rPr>
                <w:rFonts w:hint="default"/>
                <w:sz w:val="28"/>
                <w:szCs w:val="28"/>
                <w:vertAlign w:val="baseline"/>
                <w:lang w:val="en-US" w:eastAsia="zh-CN"/>
              </w:rPr>
            </w:pPr>
          </w:p>
        </w:tc>
        <w:tc>
          <w:tcPr>
            <w:tcW w:w="1995" w:type="dxa"/>
          </w:tcPr>
          <w:p>
            <w:pPr>
              <w:jc w:val="center"/>
              <w:rPr>
                <w:rFonts w:hint="default"/>
                <w:sz w:val="28"/>
                <w:szCs w:val="28"/>
                <w:vertAlign w:val="baseline"/>
                <w:lang w:val="en-US" w:eastAsia="zh-CN"/>
              </w:rPr>
            </w:pPr>
          </w:p>
        </w:tc>
        <w:tc>
          <w:tcPr>
            <w:tcW w:w="1110" w:type="dxa"/>
          </w:tcPr>
          <w:p>
            <w:pPr>
              <w:jc w:val="center"/>
              <w:rPr>
                <w:rFonts w:hint="default"/>
                <w:sz w:val="28"/>
                <w:szCs w:val="28"/>
                <w:vertAlign w:val="baseline"/>
                <w:lang w:val="en-US" w:eastAsia="zh-CN"/>
              </w:rPr>
            </w:pPr>
          </w:p>
        </w:tc>
        <w:tc>
          <w:tcPr>
            <w:tcW w:w="1185" w:type="dxa"/>
          </w:tcPr>
          <w:p>
            <w:pPr>
              <w:jc w:val="center"/>
              <w:rPr>
                <w:rFonts w:hint="default"/>
                <w:sz w:val="28"/>
                <w:szCs w:val="28"/>
                <w:vertAlign w:val="baseline"/>
                <w:lang w:val="en-US" w:eastAsia="zh-CN"/>
              </w:rPr>
            </w:pPr>
          </w:p>
        </w:tc>
        <w:tc>
          <w:tcPr>
            <w:tcW w:w="1215" w:type="dxa"/>
          </w:tcPr>
          <w:p>
            <w:pPr>
              <w:jc w:val="center"/>
              <w:rPr>
                <w:rFonts w:hint="default"/>
                <w:sz w:val="28"/>
                <w:szCs w:val="28"/>
                <w:vertAlign w:val="baseline"/>
                <w:lang w:val="en-US" w:eastAsia="zh-CN"/>
              </w:rPr>
            </w:pPr>
          </w:p>
        </w:tc>
        <w:tc>
          <w:tcPr>
            <w:tcW w:w="1245" w:type="dxa"/>
          </w:tcPr>
          <w:p>
            <w:pPr>
              <w:jc w:val="center"/>
              <w:rPr>
                <w:rFonts w:hint="default"/>
                <w:sz w:val="28"/>
                <w:szCs w:val="28"/>
                <w:vertAlign w:val="baseline"/>
                <w:lang w:val="en-US" w:eastAsia="zh-CN"/>
              </w:rPr>
            </w:pPr>
          </w:p>
        </w:tc>
        <w:tc>
          <w:tcPr>
            <w:tcW w:w="1200" w:type="dxa"/>
          </w:tcPr>
          <w:p>
            <w:pPr>
              <w:jc w:val="center"/>
              <w:rPr>
                <w:rFonts w:hint="default"/>
                <w:sz w:val="28"/>
                <w:szCs w:val="28"/>
                <w:vertAlign w:val="baseline"/>
                <w:lang w:val="en-US" w:eastAsia="zh-CN"/>
              </w:rPr>
            </w:pPr>
          </w:p>
        </w:tc>
        <w:tc>
          <w:tcPr>
            <w:tcW w:w="1320" w:type="dxa"/>
          </w:tcPr>
          <w:p>
            <w:pPr>
              <w:jc w:val="center"/>
              <w:rPr>
                <w:rFonts w:hint="default"/>
                <w:sz w:val="28"/>
                <w:szCs w:val="28"/>
                <w:vertAlign w:val="baseline"/>
                <w:lang w:val="en-US" w:eastAsia="zh-CN"/>
              </w:rPr>
            </w:pPr>
          </w:p>
        </w:tc>
        <w:tc>
          <w:tcPr>
            <w:tcW w:w="1485" w:type="dxa"/>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jc w:val="center"/>
              <w:rPr>
                <w:rFonts w:hint="default"/>
                <w:sz w:val="28"/>
                <w:szCs w:val="28"/>
                <w:vertAlign w:val="baseline"/>
                <w:lang w:val="en-US" w:eastAsia="zh-CN"/>
              </w:rPr>
            </w:pPr>
          </w:p>
        </w:tc>
        <w:tc>
          <w:tcPr>
            <w:tcW w:w="1815" w:type="dxa"/>
          </w:tcPr>
          <w:p>
            <w:pPr>
              <w:jc w:val="center"/>
              <w:rPr>
                <w:rFonts w:hint="default"/>
                <w:sz w:val="28"/>
                <w:szCs w:val="28"/>
                <w:vertAlign w:val="baseline"/>
                <w:lang w:val="en-US" w:eastAsia="zh-CN"/>
              </w:rPr>
            </w:pPr>
          </w:p>
        </w:tc>
        <w:tc>
          <w:tcPr>
            <w:tcW w:w="1995" w:type="dxa"/>
          </w:tcPr>
          <w:p>
            <w:pPr>
              <w:jc w:val="center"/>
              <w:rPr>
                <w:rFonts w:hint="default"/>
                <w:sz w:val="28"/>
                <w:szCs w:val="28"/>
                <w:vertAlign w:val="baseline"/>
                <w:lang w:val="en-US" w:eastAsia="zh-CN"/>
              </w:rPr>
            </w:pPr>
          </w:p>
        </w:tc>
        <w:tc>
          <w:tcPr>
            <w:tcW w:w="1110" w:type="dxa"/>
          </w:tcPr>
          <w:p>
            <w:pPr>
              <w:jc w:val="center"/>
              <w:rPr>
                <w:rFonts w:hint="default"/>
                <w:sz w:val="28"/>
                <w:szCs w:val="28"/>
                <w:vertAlign w:val="baseline"/>
                <w:lang w:val="en-US" w:eastAsia="zh-CN"/>
              </w:rPr>
            </w:pPr>
          </w:p>
        </w:tc>
        <w:tc>
          <w:tcPr>
            <w:tcW w:w="1185" w:type="dxa"/>
          </w:tcPr>
          <w:p>
            <w:pPr>
              <w:jc w:val="center"/>
              <w:rPr>
                <w:rFonts w:hint="default"/>
                <w:sz w:val="28"/>
                <w:szCs w:val="28"/>
                <w:vertAlign w:val="baseline"/>
                <w:lang w:val="en-US" w:eastAsia="zh-CN"/>
              </w:rPr>
            </w:pPr>
          </w:p>
        </w:tc>
        <w:tc>
          <w:tcPr>
            <w:tcW w:w="1215" w:type="dxa"/>
          </w:tcPr>
          <w:p>
            <w:pPr>
              <w:jc w:val="center"/>
              <w:rPr>
                <w:rFonts w:hint="default"/>
                <w:sz w:val="28"/>
                <w:szCs w:val="28"/>
                <w:vertAlign w:val="baseline"/>
                <w:lang w:val="en-US" w:eastAsia="zh-CN"/>
              </w:rPr>
            </w:pPr>
          </w:p>
        </w:tc>
        <w:tc>
          <w:tcPr>
            <w:tcW w:w="1245" w:type="dxa"/>
          </w:tcPr>
          <w:p>
            <w:pPr>
              <w:jc w:val="center"/>
              <w:rPr>
                <w:rFonts w:hint="default"/>
                <w:sz w:val="28"/>
                <w:szCs w:val="28"/>
                <w:vertAlign w:val="baseline"/>
                <w:lang w:val="en-US" w:eastAsia="zh-CN"/>
              </w:rPr>
            </w:pPr>
          </w:p>
        </w:tc>
        <w:tc>
          <w:tcPr>
            <w:tcW w:w="1200" w:type="dxa"/>
          </w:tcPr>
          <w:p>
            <w:pPr>
              <w:jc w:val="center"/>
              <w:rPr>
                <w:rFonts w:hint="default"/>
                <w:sz w:val="28"/>
                <w:szCs w:val="28"/>
                <w:vertAlign w:val="baseline"/>
                <w:lang w:val="en-US" w:eastAsia="zh-CN"/>
              </w:rPr>
            </w:pPr>
          </w:p>
        </w:tc>
        <w:tc>
          <w:tcPr>
            <w:tcW w:w="1320" w:type="dxa"/>
          </w:tcPr>
          <w:p>
            <w:pPr>
              <w:jc w:val="center"/>
              <w:rPr>
                <w:rFonts w:hint="default"/>
                <w:sz w:val="28"/>
                <w:szCs w:val="28"/>
                <w:vertAlign w:val="baseline"/>
                <w:lang w:val="en-US" w:eastAsia="zh-CN"/>
              </w:rPr>
            </w:pPr>
          </w:p>
        </w:tc>
        <w:tc>
          <w:tcPr>
            <w:tcW w:w="1485" w:type="dxa"/>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jc w:val="center"/>
              <w:rPr>
                <w:rFonts w:hint="default"/>
                <w:sz w:val="28"/>
                <w:szCs w:val="28"/>
                <w:vertAlign w:val="baseline"/>
                <w:lang w:val="en-US" w:eastAsia="zh-CN"/>
              </w:rPr>
            </w:pPr>
          </w:p>
        </w:tc>
        <w:tc>
          <w:tcPr>
            <w:tcW w:w="1815" w:type="dxa"/>
          </w:tcPr>
          <w:p>
            <w:pPr>
              <w:jc w:val="center"/>
              <w:rPr>
                <w:rFonts w:hint="default"/>
                <w:sz w:val="28"/>
                <w:szCs w:val="28"/>
                <w:vertAlign w:val="baseline"/>
                <w:lang w:val="en-US" w:eastAsia="zh-CN"/>
              </w:rPr>
            </w:pPr>
          </w:p>
        </w:tc>
        <w:tc>
          <w:tcPr>
            <w:tcW w:w="1995" w:type="dxa"/>
          </w:tcPr>
          <w:p>
            <w:pPr>
              <w:jc w:val="center"/>
              <w:rPr>
                <w:rFonts w:hint="default"/>
                <w:sz w:val="28"/>
                <w:szCs w:val="28"/>
                <w:vertAlign w:val="baseline"/>
                <w:lang w:val="en-US" w:eastAsia="zh-CN"/>
              </w:rPr>
            </w:pPr>
          </w:p>
        </w:tc>
        <w:tc>
          <w:tcPr>
            <w:tcW w:w="1110" w:type="dxa"/>
          </w:tcPr>
          <w:p>
            <w:pPr>
              <w:jc w:val="center"/>
              <w:rPr>
                <w:rFonts w:hint="default"/>
                <w:sz w:val="28"/>
                <w:szCs w:val="28"/>
                <w:vertAlign w:val="baseline"/>
                <w:lang w:val="en-US" w:eastAsia="zh-CN"/>
              </w:rPr>
            </w:pPr>
          </w:p>
        </w:tc>
        <w:tc>
          <w:tcPr>
            <w:tcW w:w="1185" w:type="dxa"/>
          </w:tcPr>
          <w:p>
            <w:pPr>
              <w:jc w:val="center"/>
              <w:rPr>
                <w:rFonts w:hint="default"/>
                <w:sz w:val="28"/>
                <w:szCs w:val="28"/>
                <w:vertAlign w:val="baseline"/>
                <w:lang w:val="en-US" w:eastAsia="zh-CN"/>
              </w:rPr>
            </w:pPr>
          </w:p>
        </w:tc>
        <w:tc>
          <w:tcPr>
            <w:tcW w:w="1215" w:type="dxa"/>
          </w:tcPr>
          <w:p>
            <w:pPr>
              <w:jc w:val="center"/>
              <w:rPr>
                <w:rFonts w:hint="default"/>
                <w:sz w:val="28"/>
                <w:szCs w:val="28"/>
                <w:vertAlign w:val="baseline"/>
                <w:lang w:val="en-US" w:eastAsia="zh-CN"/>
              </w:rPr>
            </w:pPr>
          </w:p>
        </w:tc>
        <w:tc>
          <w:tcPr>
            <w:tcW w:w="1245" w:type="dxa"/>
          </w:tcPr>
          <w:p>
            <w:pPr>
              <w:jc w:val="center"/>
              <w:rPr>
                <w:rFonts w:hint="default"/>
                <w:sz w:val="28"/>
                <w:szCs w:val="28"/>
                <w:vertAlign w:val="baseline"/>
                <w:lang w:val="en-US" w:eastAsia="zh-CN"/>
              </w:rPr>
            </w:pPr>
          </w:p>
        </w:tc>
        <w:tc>
          <w:tcPr>
            <w:tcW w:w="1200" w:type="dxa"/>
          </w:tcPr>
          <w:p>
            <w:pPr>
              <w:jc w:val="center"/>
              <w:rPr>
                <w:rFonts w:hint="default"/>
                <w:sz w:val="28"/>
                <w:szCs w:val="28"/>
                <w:vertAlign w:val="baseline"/>
                <w:lang w:val="en-US" w:eastAsia="zh-CN"/>
              </w:rPr>
            </w:pPr>
          </w:p>
        </w:tc>
        <w:tc>
          <w:tcPr>
            <w:tcW w:w="1320" w:type="dxa"/>
          </w:tcPr>
          <w:p>
            <w:pPr>
              <w:jc w:val="center"/>
              <w:rPr>
                <w:rFonts w:hint="default"/>
                <w:sz w:val="28"/>
                <w:szCs w:val="28"/>
                <w:vertAlign w:val="baseline"/>
                <w:lang w:val="en-US" w:eastAsia="zh-CN"/>
              </w:rPr>
            </w:pPr>
          </w:p>
        </w:tc>
        <w:tc>
          <w:tcPr>
            <w:tcW w:w="1485" w:type="dxa"/>
          </w:tcPr>
          <w:p>
            <w:pPr>
              <w:jc w:val="center"/>
              <w:rPr>
                <w:rFonts w:hint="default"/>
                <w:sz w:val="28"/>
                <w:szCs w:val="28"/>
                <w:vertAlign w:val="baseline"/>
                <w:lang w:val="en-US" w:eastAsia="zh-CN"/>
              </w:rPr>
            </w:pPr>
          </w:p>
        </w:tc>
      </w:tr>
    </w:tbl>
    <w:p>
      <w:pPr>
        <w:ind w:firstLine="420"/>
        <w:rPr>
          <w:rFonts w:hint="default"/>
          <w:lang w:val="en-US" w:eastAsia="zh-CN"/>
        </w:rPr>
      </w:pPr>
      <w:bookmarkStart w:id="0" w:name="_GoBack"/>
      <w:bookmarkEnd w:id="0"/>
    </w:p>
    <w:p>
      <w:pPr>
        <w:ind w:firstLine="420"/>
        <w:rPr>
          <w:rFonts w:hint="eastAsia"/>
          <w:lang w:val="en-US" w:eastAsia="zh-CN"/>
        </w:rPr>
      </w:pPr>
      <w:r>
        <w:rPr>
          <w:rFonts w:hint="eastAsia"/>
          <w:lang w:val="en-US" w:eastAsia="zh-CN"/>
        </w:rPr>
        <w:t>附：</w:t>
      </w:r>
    </w:p>
    <w:p>
      <w:pPr>
        <w:ind w:firstLine="420"/>
        <w:rPr>
          <w:rFonts w:hint="eastAsia"/>
          <w:lang w:val="en-US" w:eastAsia="zh-CN"/>
        </w:rPr>
      </w:pPr>
      <w:r>
        <w:rPr>
          <w:rFonts w:hint="eastAsia"/>
          <w:lang w:val="en-US" w:eastAsia="zh-CN"/>
        </w:rPr>
        <w:t>1.我院可认定的工种名单见如下网址：</w:t>
      </w:r>
    </w:p>
    <w:p>
      <w:pPr>
        <w:ind w:firstLine="420"/>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"http://pjjg.osta.org.cn/detail/51045detail.html" </w:instrText>
      </w:r>
      <w:r>
        <w:rPr>
          <w:rFonts w:ascii="宋体" w:hAnsi="宋体" w:eastAsia="宋体" w:cs="宋体"/>
          <w:sz w:val="24"/>
          <w:szCs w:val="24"/>
        </w:rPr>
        <w:fldChar w:fldCharType="separate"/>
      </w:r>
      <w:r>
        <w:rPr>
          <w:rStyle w:val="6"/>
          <w:rFonts w:ascii="宋体" w:hAnsi="宋体" w:eastAsia="宋体" w:cs="宋体"/>
          <w:sz w:val="24"/>
          <w:szCs w:val="24"/>
        </w:rPr>
        <w:t>http://pjjg.osta.org.cn/detail/51045detail.html</w:t>
      </w:r>
      <w:r>
        <w:rPr>
          <w:rFonts w:ascii="宋体" w:hAnsi="宋体" w:eastAsia="宋体" w:cs="宋体"/>
          <w:sz w:val="24"/>
          <w:szCs w:val="24"/>
        </w:rPr>
        <w:fldChar w:fldCharType="end"/>
      </w:r>
    </w:p>
    <w:p>
      <w:pPr>
        <w:numPr>
          <w:numId w:val="0"/>
        </w:numPr>
        <w:ind w:firstLine="420" w:firstLineChars="200"/>
        <w:rPr>
          <w:rFonts w:hint="eastAsia"/>
          <w:lang w:val="en-US" w:eastAsia="zh-CN"/>
        </w:rPr>
      </w:pPr>
      <w:r>
        <w:rPr>
          <w:rFonts w:hint="eastAsia"/>
          <w:lang w:val="en-US" w:eastAsia="zh-CN"/>
        </w:rPr>
        <w:t>2.国家技能人才评价工作网：</w:t>
      </w:r>
    </w:p>
    <w:p>
      <w:pPr>
        <w:numPr>
          <w:numId w:val="0"/>
        </w:numPr>
        <w:ind w:firstLine="480" w:firstLineChars="200"/>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"http://biaozhun.osta.org.cn/" </w:instrText>
      </w:r>
      <w:r>
        <w:rPr>
          <w:rFonts w:ascii="宋体" w:hAnsi="宋体" w:eastAsia="宋体" w:cs="宋体"/>
          <w:sz w:val="24"/>
          <w:szCs w:val="24"/>
        </w:rPr>
        <w:fldChar w:fldCharType="separate"/>
      </w:r>
      <w:r>
        <w:rPr>
          <w:rStyle w:val="5"/>
          <w:rFonts w:ascii="宋体" w:hAnsi="宋体" w:eastAsia="宋体" w:cs="宋体"/>
          <w:sz w:val="24"/>
          <w:szCs w:val="24"/>
        </w:rPr>
        <w:t>职业标准系统 (osta.org.cn)</w:t>
      </w:r>
      <w:r>
        <w:rPr>
          <w:rFonts w:ascii="宋体" w:hAnsi="宋体" w:eastAsia="宋体" w:cs="宋体"/>
          <w:sz w:val="24"/>
          <w:szCs w:val="24"/>
        </w:rPr>
        <w:fldChar w:fldCharType="end"/>
      </w:r>
    </w:p>
    <w:p>
      <w:pPr>
        <w:ind w:firstLine="420"/>
        <w:rPr>
          <w:rFonts w:hint="default" w:ascii="宋体" w:hAnsi="宋体" w:eastAsia="宋体" w:cs="宋体"/>
          <w:sz w:val="24"/>
          <w:szCs w:val="24"/>
          <w:lang w:val="en-US" w:eastAsia="zh-CN"/>
        </w:rPr>
      </w:pPr>
    </w:p>
    <w:p>
      <w:p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辽宁农业职业技术学院职业技能等级认定中心</w:t>
      </w:r>
    </w:p>
    <w:p>
      <w:pPr>
        <w:ind w:firstLine="42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2024.3.13</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TlhMjk5M2IxZjNhZjUzZTExNjZjMjBlZDQ5NzQifQ=="/>
  </w:docVars>
  <w:rsids>
    <w:rsidRoot w:val="00000000"/>
    <w:rsid w:val="04FC263C"/>
    <w:rsid w:val="05D9153E"/>
    <w:rsid w:val="0E610579"/>
    <w:rsid w:val="1B3E5305"/>
    <w:rsid w:val="1B955CDE"/>
    <w:rsid w:val="36EC4E42"/>
    <w:rsid w:val="3FC90D91"/>
    <w:rsid w:val="40834983"/>
    <w:rsid w:val="643F629B"/>
    <w:rsid w:val="6BEE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800080"/>
      <w:u w:val="single"/>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2024-03-13T01:13:00Z</dcterms:created>
  <dc:creator>Lenovo</dc:creator>
  <cp:lastModifiedBy>高飞1371544658</cp:lastModifiedBy>
  <dcterms:modified xsi:type="dcterms:W3CDTF">2024-03-13T03:05:30Z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7BCCBEC7CAC64CB1BDD55736F1B1EDC3_12</vt:lpwstr>
  </property>
</Properties>
</file>