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Times New Roman" w:eastAsia="黑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华文中宋" w:hAnsi="华文中宋" w:eastAsia="华文中宋"/>
          <w:b/>
          <w:color w:val="000000"/>
          <w:w w:val="9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Times New Roman" w:eastAsia="黑体" w:cs="Times New Roman"/>
          <w:bCs/>
          <w:kern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黑体" w:hAnsi="Times New Roman" w:eastAsia="黑体" w:cs="Times New Roman"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Times New Roman" w:eastAsia="黑体" w:cs="Times New Roman"/>
          <w:bCs/>
          <w:kern w:val="0"/>
          <w:sz w:val="36"/>
          <w:szCs w:val="36"/>
          <w:lang w:val="en-US" w:eastAsia="zh-CN"/>
        </w:rPr>
        <w:t>新入职教职工转正考核综合测评表</w:t>
      </w:r>
    </w:p>
    <w:bookmarkEnd w:id="0"/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29"/>
        <w:gridCol w:w="756"/>
        <w:gridCol w:w="1126"/>
        <w:gridCol w:w="1126"/>
        <w:gridCol w:w="1126"/>
        <w:gridCol w:w="1126"/>
        <w:gridCol w:w="112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611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师德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师风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道德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品行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履职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能力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服务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意识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态度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廉洁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自律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61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25分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25分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25分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atLeast"/>
        <w:jc w:val="left"/>
        <w:rPr>
          <w:rFonts w:hint="eastAsia" w:ascii="宋体" w:hAnsi="宋体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  <w:szCs w:val="18"/>
        </w:rPr>
        <w:t>说明：从德、能、勤、绩、廉等方面进行综合评价，师德师风不合格者实行一票否决。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</w:pPr>
    </w:p>
    <w:p/>
    <w:sectPr>
      <w:headerReference r:id="rId5" w:type="default"/>
      <w:footerReference r:id="rId6" w:type="even"/>
      <w:pgSz w:w="11906" w:h="16838"/>
      <w:pgMar w:top="1361" w:right="1361" w:bottom="1361" w:left="136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- 40 -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092255A3"/>
    <w:rsid w:val="092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color w:val="000000" w:themeColor="text1"/>
      <w:kern w:val="2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56" w:after="156"/>
      <w:ind w:firstLine="643"/>
      <w:jc w:val="left"/>
    </w:pPr>
    <w:rPr>
      <w:rFonts w:ascii="仿宋_GB2312" w:hAnsi="仿宋" w:cs="仿宋"/>
      <w:color w:val="333333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2024-04-09T07:10:00Z</dcterms:created>
  <dc:creator>人事处-李毅</dc:creator>
  <cp:lastModifiedBy>人事处-李毅</cp:lastModifiedBy>
  <dcterms:modified xsi:type="dcterms:W3CDTF">2024-04-09T07:10:54Z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2A9DDE020F3845468ABDEB7C802D525D_11</vt:lpwstr>
  </property>
</Properties>
</file>