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3BE3B6">
      <w:pPr>
        <w:spacing w:line="640" w:lineRule="exact"/>
        <w:ind w:firstLine="1540" w:firstLineChars="350"/>
        <w:rPr>
          <w:rFonts w:ascii="方正小标宋简体" w:hAnsi="黑体" w:eastAsia="方正小标宋简体"/>
          <w:sz w:val="44"/>
          <w:szCs w:val="44"/>
        </w:rPr>
      </w:pPr>
      <w:r>
        <w:rPr>
          <w:rFonts w:hint="eastAsia" w:ascii="方正小标宋简体" w:hAnsi="黑体" w:eastAsia="方正小标宋简体"/>
          <w:sz w:val="44"/>
          <w:szCs w:val="44"/>
        </w:rPr>
        <w:t>202</w:t>
      </w:r>
      <w:r>
        <w:rPr>
          <w:rFonts w:hint="eastAsia" w:ascii="方正小标宋简体" w:hAnsi="黑体" w:eastAsia="方正小标宋简体"/>
          <w:sz w:val="44"/>
          <w:szCs w:val="44"/>
          <w:lang w:val="en-US" w:eastAsia="zh-CN"/>
        </w:rPr>
        <w:t>4</w:t>
      </w:r>
      <w:r>
        <w:rPr>
          <w:rFonts w:hint="eastAsia" w:ascii="方正小标宋简体" w:hAnsi="黑体" w:eastAsia="方正小标宋简体"/>
          <w:sz w:val="44"/>
          <w:szCs w:val="44"/>
        </w:rPr>
        <w:t>年高校信息公开年度报告</w:t>
      </w:r>
    </w:p>
    <w:p w14:paraId="2F1FF596">
      <w:pPr>
        <w:spacing w:line="640" w:lineRule="exact"/>
        <w:ind w:left="2782" w:leftChars="1096" w:hanging="480" w:hangingChars="150"/>
        <w:rPr>
          <w:rFonts w:ascii="楷体" w:hAnsi="楷体" w:eastAsia="楷体"/>
          <w:sz w:val="32"/>
          <w:szCs w:val="32"/>
        </w:rPr>
      </w:pPr>
      <w:r>
        <w:rPr>
          <w:rFonts w:hint="eastAsia" w:ascii="楷体" w:hAnsi="楷体" w:eastAsia="楷体"/>
          <w:sz w:val="32"/>
          <w:szCs w:val="32"/>
        </w:rPr>
        <w:t>（辽宁农业职业技术学院）</w:t>
      </w:r>
    </w:p>
    <w:p w14:paraId="765E9F65">
      <w:pPr>
        <w:widowControl/>
        <w:spacing w:line="640" w:lineRule="exact"/>
        <w:ind w:firstLine="675"/>
        <w:rPr>
          <w:rFonts w:ascii="仿宋_GB2312" w:hAnsi="宋体" w:eastAsia="仿宋_GB2312" w:cs="宋体"/>
          <w:kern w:val="0"/>
          <w:sz w:val="32"/>
          <w:szCs w:val="32"/>
        </w:rPr>
      </w:pPr>
      <w:r>
        <w:rPr>
          <w:rFonts w:hint="eastAsia" w:ascii="仿宋_GB2312" w:hAnsi="仿宋" w:eastAsia="仿宋_GB2312" w:cs="宋体"/>
          <w:kern w:val="0"/>
          <w:sz w:val="32"/>
          <w:szCs w:val="32"/>
        </w:rPr>
        <w:t>本报告根据</w:t>
      </w:r>
      <w:r>
        <w:rPr>
          <w:rFonts w:hint="eastAsia" w:ascii="仿宋_GB2312" w:hAnsi="仿宋" w:eastAsia="仿宋_GB2312" w:cs="宋体"/>
          <w:kern w:val="0"/>
          <w:sz w:val="32"/>
          <w:szCs w:val="32"/>
          <w:highlight w:val="none"/>
        </w:rPr>
        <w:t>教育部《高等学校信息公开办法》</w:t>
      </w:r>
      <w:r>
        <w:rPr>
          <w:rFonts w:hint="eastAsia" w:ascii="仿宋_GB2312" w:eastAsia="仿宋_GB2312"/>
          <w:sz w:val="32"/>
          <w:szCs w:val="32"/>
          <w:highlight w:val="none"/>
        </w:rPr>
        <w:t>（教育部令第29号）、《教育部关于公</w:t>
      </w:r>
      <w:r>
        <w:rPr>
          <w:rFonts w:hint="eastAsia" w:ascii="仿宋_GB2312" w:hAnsi="仿宋" w:eastAsia="仿宋_GB2312" w:cs="宋体"/>
          <w:kern w:val="0"/>
          <w:sz w:val="32"/>
          <w:szCs w:val="32"/>
          <w:highlight w:val="none"/>
        </w:rPr>
        <w:t>布&lt;高等学校信息公开事项清单&gt;的通知》（教办函[2014]23 号）以及《教育部办公厅关于做好202</w:t>
      </w:r>
      <w:r>
        <w:rPr>
          <w:rFonts w:hint="eastAsia" w:ascii="仿宋_GB2312" w:hAnsi="仿宋" w:eastAsia="仿宋_GB2312" w:cs="宋体"/>
          <w:kern w:val="0"/>
          <w:sz w:val="32"/>
          <w:szCs w:val="32"/>
          <w:highlight w:val="none"/>
          <w:lang w:val="en-US" w:eastAsia="zh-CN"/>
        </w:rPr>
        <w:t>4</w:t>
      </w:r>
      <w:r>
        <w:rPr>
          <w:rFonts w:hint="eastAsia" w:ascii="仿宋_GB2312" w:hAnsi="仿宋" w:eastAsia="仿宋_GB2312" w:cs="宋体"/>
          <w:kern w:val="0"/>
          <w:sz w:val="32"/>
          <w:szCs w:val="32"/>
          <w:highlight w:val="none"/>
        </w:rPr>
        <w:t>年高校信息公开年度报告工作的通知》（教办</w:t>
      </w:r>
      <w:r>
        <w:rPr>
          <w:rFonts w:hint="eastAsia" w:ascii="仿宋_GB2312" w:hAnsi="仿宋" w:eastAsia="仿宋_GB2312" w:cs="宋体"/>
          <w:kern w:val="0"/>
          <w:sz w:val="32"/>
          <w:szCs w:val="32"/>
          <w:highlight w:val="none"/>
          <w:lang w:val="en-US" w:eastAsia="zh-CN"/>
        </w:rPr>
        <w:t>厅函</w:t>
      </w:r>
      <w:r>
        <w:rPr>
          <w:rFonts w:hint="eastAsia" w:ascii="仿宋_GB2312" w:hAnsi="仿宋" w:eastAsia="仿宋_GB2312" w:cs="宋体"/>
          <w:kern w:val="0"/>
          <w:sz w:val="32"/>
          <w:szCs w:val="32"/>
          <w:highlight w:val="none"/>
        </w:rPr>
        <w:t>[202</w:t>
      </w:r>
      <w:r>
        <w:rPr>
          <w:rFonts w:hint="eastAsia" w:ascii="仿宋_GB2312" w:hAnsi="仿宋" w:eastAsia="仿宋_GB2312" w:cs="宋体"/>
          <w:kern w:val="0"/>
          <w:sz w:val="32"/>
          <w:szCs w:val="32"/>
          <w:highlight w:val="none"/>
          <w:lang w:val="en-US" w:eastAsia="zh-CN"/>
        </w:rPr>
        <w:t>4</w:t>
      </w:r>
      <w:r>
        <w:rPr>
          <w:rFonts w:hint="eastAsia" w:ascii="仿宋_GB2312" w:hAnsi="仿宋" w:eastAsia="仿宋_GB2312" w:cs="宋体"/>
          <w:kern w:val="0"/>
          <w:sz w:val="32"/>
          <w:szCs w:val="32"/>
          <w:highlight w:val="none"/>
        </w:rPr>
        <w:t>]</w:t>
      </w:r>
      <w:r>
        <w:rPr>
          <w:rFonts w:hint="eastAsia" w:ascii="仿宋_GB2312" w:hAnsi="仿宋" w:eastAsia="仿宋_GB2312" w:cs="宋体"/>
          <w:kern w:val="0"/>
          <w:sz w:val="32"/>
          <w:szCs w:val="32"/>
          <w:highlight w:val="none"/>
          <w:lang w:val="en-US" w:eastAsia="zh-CN"/>
        </w:rPr>
        <w:t>52</w:t>
      </w:r>
      <w:r>
        <w:rPr>
          <w:rFonts w:hint="eastAsia" w:ascii="仿宋_GB2312" w:hAnsi="仿宋" w:eastAsia="仿宋_GB2312" w:cs="宋体"/>
          <w:kern w:val="0"/>
          <w:sz w:val="32"/>
          <w:szCs w:val="32"/>
          <w:highlight w:val="none"/>
        </w:rPr>
        <w:t>号）等文件精</w:t>
      </w:r>
      <w:r>
        <w:rPr>
          <w:rFonts w:hint="eastAsia" w:ascii="仿宋_GB2312" w:hAnsi="仿宋" w:eastAsia="仿宋_GB2312" w:cs="宋体"/>
          <w:kern w:val="0"/>
          <w:sz w:val="32"/>
          <w:szCs w:val="32"/>
        </w:rPr>
        <w:t>神进行编制。全文内容包括概述、学校信息主动公开情况、依申请公开情况和不予公开情况、对信息公开的评议情况、因学校信息公开工作遭到举报的情况、信息公开工作存在的问题和改进措施等。本报告将由辽宁农业职业技术学院门户网站中的“信息公开”专栏向社会发布。</w:t>
      </w:r>
    </w:p>
    <w:p w14:paraId="2526D7B4">
      <w:pPr>
        <w:widowControl/>
        <w:spacing w:line="600" w:lineRule="exact"/>
        <w:ind w:firstLine="674"/>
        <w:jc w:val="left"/>
        <w:rPr>
          <w:rFonts w:ascii="黑体" w:hAnsi="黑体" w:eastAsia="黑体" w:cs="宋体"/>
          <w:kern w:val="0"/>
          <w:sz w:val="32"/>
          <w:szCs w:val="32"/>
        </w:rPr>
      </w:pPr>
      <w:r>
        <w:rPr>
          <w:rFonts w:hint="eastAsia" w:ascii="黑体" w:hAnsi="黑体" w:eastAsia="黑体" w:cs="宋体"/>
          <w:kern w:val="0"/>
          <w:sz w:val="32"/>
          <w:szCs w:val="32"/>
        </w:rPr>
        <w:t>一、学院信息公开工作概况</w:t>
      </w:r>
    </w:p>
    <w:p w14:paraId="56E64DA8">
      <w:pPr>
        <w:widowControl/>
        <w:spacing w:line="620" w:lineRule="exact"/>
        <w:ind w:firstLine="674"/>
        <w:rPr>
          <w:rFonts w:ascii="仿宋_GB2312" w:hAnsi="仿宋" w:eastAsia="仿宋_GB2312" w:cs="宋体"/>
          <w:kern w:val="0"/>
          <w:sz w:val="32"/>
          <w:szCs w:val="32"/>
        </w:rPr>
      </w:pPr>
      <w:r>
        <w:rPr>
          <w:rFonts w:hint="eastAsia" w:ascii="仿宋_GB2312" w:eastAsia="仿宋_GB2312"/>
          <w:sz w:val="32"/>
          <w:szCs w:val="32"/>
        </w:rPr>
        <w:t>学院始终</w:t>
      </w:r>
      <w:r>
        <w:rPr>
          <w:rFonts w:hint="eastAsia" w:ascii="仿宋_GB2312" w:hAnsi="仿宋" w:eastAsia="仿宋_GB2312" w:cs="宋体"/>
          <w:kern w:val="0"/>
          <w:sz w:val="32"/>
          <w:szCs w:val="32"/>
        </w:rPr>
        <w:t>坚持以习近平新时代中国特色社会主义思想为指引，全面贯彻党的</w:t>
      </w:r>
      <w:r>
        <w:rPr>
          <w:rFonts w:hint="eastAsia" w:ascii="仿宋_GB2312" w:hAnsi="仿宋" w:eastAsia="仿宋_GB2312" w:cs="宋体"/>
          <w:kern w:val="0"/>
          <w:sz w:val="32"/>
          <w:szCs w:val="32"/>
          <w:lang w:val="en-US" w:eastAsia="zh-CN"/>
        </w:rPr>
        <w:t>二十</w:t>
      </w:r>
      <w:r>
        <w:rPr>
          <w:rFonts w:hint="eastAsia" w:ascii="仿宋_GB2312" w:hAnsi="仿宋" w:eastAsia="仿宋_GB2312" w:cs="宋体"/>
          <w:kern w:val="0"/>
          <w:sz w:val="32"/>
          <w:szCs w:val="32"/>
        </w:rPr>
        <w:t>大和二十届一中、二中</w:t>
      </w:r>
      <w:r>
        <w:rPr>
          <w:rFonts w:hint="eastAsia" w:ascii="仿宋_GB2312" w:hAnsi="仿宋" w:eastAsia="仿宋_GB2312" w:cs="宋体"/>
          <w:kern w:val="0"/>
          <w:sz w:val="32"/>
          <w:szCs w:val="32"/>
          <w:lang w:eastAsia="zh-CN"/>
        </w:rPr>
        <w:t>、</w:t>
      </w:r>
      <w:r>
        <w:rPr>
          <w:rFonts w:hint="eastAsia" w:ascii="仿宋_GB2312" w:hAnsi="仿宋" w:eastAsia="仿宋_GB2312" w:cs="宋体"/>
          <w:kern w:val="0"/>
          <w:sz w:val="32"/>
          <w:szCs w:val="32"/>
          <w:lang w:val="en-US" w:eastAsia="zh-CN"/>
        </w:rPr>
        <w:t>三中</w:t>
      </w:r>
      <w:r>
        <w:rPr>
          <w:rFonts w:hint="eastAsia" w:ascii="仿宋_GB2312" w:hAnsi="仿宋" w:eastAsia="仿宋_GB2312" w:cs="宋体"/>
          <w:kern w:val="0"/>
          <w:sz w:val="32"/>
          <w:szCs w:val="32"/>
        </w:rPr>
        <w:t>全会精神，贯彻落实党的教育方针，切实加强党的全面领导，以《政府信息公开条例》和《办法》为遵循，坚持“以公开为常态、不公开为例外”原则，严格落实《清单》要求，规范化、标准化和信息化深入推进学院信息公开工作，</w:t>
      </w:r>
      <w:r>
        <w:rPr>
          <w:rFonts w:hint="eastAsia" w:ascii="仿宋_GB2312" w:eastAsia="仿宋_GB2312"/>
          <w:sz w:val="32"/>
          <w:szCs w:val="32"/>
        </w:rPr>
        <w:t>不断推进信息公开与学院各方面工作深度融合，强化信息公开在学校发展谋篇布局中的重要定位，扩大社会监督，提高学院办学透明度。</w:t>
      </w:r>
      <w:r>
        <w:rPr>
          <w:rFonts w:hint="eastAsia" w:ascii="仿宋_GB2312" w:hAnsi="仿宋" w:eastAsia="仿宋_GB2312" w:cs="宋体"/>
          <w:kern w:val="0"/>
          <w:sz w:val="32"/>
          <w:szCs w:val="32"/>
        </w:rPr>
        <w:t>有力保障了广大师生和社会公众获取学院信息，有效推动了学院依法治校和高水平现代化高职院校建设进程。</w:t>
      </w:r>
    </w:p>
    <w:p w14:paraId="0FF84AD4">
      <w:pPr>
        <w:widowControl/>
        <w:spacing w:line="600" w:lineRule="exact"/>
        <w:ind w:firstLine="674"/>
        <w:jc w:val="left"/>
        <w:rPr>
          <w:rFonts w:ascii="仿宋_GB2312" w:eastAsia="仿宋_GB2312"/>
          <w:b/>
          <w:sz w:val="32"/>
          <w:szCs w:val="32"/>
        </w:rPr>
      </w:pPr>
      <w:r>
        <w:rPr>
          <w:rFonts w:hint="eastAsia" w:ascii="仿宋_GB2312" w:eastAsia="仿宋_GB2312"/>
          <w:b/>
          <w:sz w:val="32"/>
          <w:szCs w:val="32"/>
        </w:rPr>
        <w:t>（一）切实抓好信息公开的主体责任</w:t>
      </w:r>
    </w:p>
    <w:p w14:paraId="75EF143B">
      <w:pPr>
        <w:widowControl/>
        <w:spacing w:line="640" w:lineRule="exact"/>
        <w:ind w:firstLine="675"/>
        <w:rPr>
          <w:rFonts w:ascii="仿宋_GB2312" w:hAnsi="仿宋" w:eastAsia="仿宋_GB2312" w:cs="宋体"/>
          <w:kern w:val="0"/>
          <w:sz w:val="32"/>
          <w:szCs w:val="32"/>
        </w:rPr>
      </w:pPr>
      <w:r>
        <w:rPr>
          <w:rFonts w:hint="eastAsia" w:ascii="仿宋_GB2312" w:hAnsi="仿宋" w:eastAsia="仿宋_GB2312" w:cs="宋体"/>
          <w:kern w:val="0"/>
          <w:sz w:val="32"/>
          <w:szCs w:val="32"/>
        </w:rPr>
        <w:t>在院党委领导下，由党政办公室、党委宣传统战部、信息中心等有关职能部门形成信息公开的联动机制，构建高度重视、齐抓共管的工作格局，及时传达、学习教育部有关文件精神，对信息公开及时性与准确性、信息公开网站信息发布、信息公开与保密审查要求、信息公开工作中存在的问题等均有具体的、明确的要求，提高全院干部对信息公开工作重要性和意义的认识，推动全院信息公开工作。同时，将信息公开工作写进年度工作报告中，每年进行内部</w:t>
      </w:r>
      <w:r>
        <w:rPr>
          <w:rFonts w:hint="eastAsia" w:ascii="仿宋_GB2312" w:hAnsi="仿宋" w:eastAsia="仿宋_GB2312" w:cs="宋体"/>
          <w:kern w:val="0"/>
          <w:sz w:val="32"/>
          <w:szCs w:val="32"/>
          <w:lang w:val="en-US" w:eastAsia="zh-CN"/>
        </w:rPr>
        <w:t>全面</w:t>
      </w:r>
      <w:r>
        <w:rPr>
          <w:rFonts w:hint="eastAsia" w:ascii="仿宋_GB2312" w:hAnsi="仿宋" w:eastAsia="仿宋_GB2312" w:cs="宋体"/>
          <w:kern w:val="0"/>
          <w:sz w:val="32"/>
          <w:szCs w:val="32"/>
        </w:rPr>
        <w:t>自查，及时发现问题并跟进整改。</w:t>
      </w:r>
    </w:p>
    <w:p w14:paraId="47A6D79C">
      <w:pPr>
        <w:widowControl/>
        <w:spacing w:line="600" w:lineRule="exact"/>
        <w:ind w:firstLine="674"/>
        <w:jc w:val="left"/>
        <w:rPr>
          <w:rFonts w:ascii="仿宋_GB2312" w:hAnsi="宋体" w:eastAsia="仿宋_GB2312" w:cs="宋体"/>
          <w:b/>
          <w:color w:val="000000"/>
          <w:kern w:val="0"/>
          <w:sz w:val="32"/>
          <w:szCs w:val="32"/>
        </w:rPr>
      </w:pPr>
      <w:r>
        <w:rPr>
          <w:rFonts w:hint="eastAsia" w:ascii="仿宋_GB2312" w:hAnsi="宋体" w:eastAsia="仿宋_GB2312" w:cs="宋体"/>
          <w:b/>
          <w:color w:val="000000"/>
          <w:kern w:val="0"/>
          <w:sz w:val="32"/>
          <w:szCs w:val="32"/>
        </w:rPr>
        <w:t>（二）持续健全信息公开工作机制与流程</w:t>
      </w:r>
    </w:p>
    <w:p w14:paraId="29CBE7B5">
      <w:pPr>
        <w:widowControl/>
        <w:spacing w:line="600" w:lineRule="exact"/>
        <w:ind w:firstLine="674"/>
        <w:jc w:val="left"/>
        <w:rPr>
          <w:rFonts w:ascii="仿宋_GB2312" w:eastAsia="仿宋_GB2312"/>
          <w:sz w:val="32"/>
          <w:szCs w:val="32"/>
        </w:rPr>
      </w:pPr>
      <w:r>
        <w:rPr>
          <w:rFonts w:hint="eastAsia" w:ascii="仿宋_GB2312" w:eastAsia="仿宋_GB2312"/>
          <w:sz w:val="32"/>
          <w:szCs w:val="32"/>
        </w:rPr>
        <w:t>为加强现有信息公开工作制度完善性，使之适应不断提升的外部信息公开需求与媒体技术发展，在理顺依法申请公开工作机制、信息发布审批机制、保密审查机制等现有工作机制和流程的基础上，建立新媒体发布审批机制、项目招标公告发布等新制度，不断构建完善的信息公开体系，着力推进学院信息公开工作的常态化、规范化和制度化，有效保障了社会公众和师生员工的知情权、参与权和监督权。</w:t>
      </w:r>
    </w:p>
    <w:p w14:paraId="75D6038A">
      <w:pPr>
        <w:widowControl/>
        <w:spacing w:line="600" w:lineRule="exact"/>
        <w:ind w:firstLine="674"/>
        <w:jc w:val="left"/>
        <w:rPr>
          <w:rFonts w:ascii="仿宋_GB2312" w:eastAsia="仿宋_GB2312"/>
          <w:b/>
          <w:sz w:val="32"/>
          <w:szCs w:val="32"/>
        </w:rPr>
      </w:pPr>
      <w:r>
        <w:rPr>
          <w:rFonts w:hint="eastAsia" w:ascii="仿宋_GB2312" w:eastAsia="仿宋_GB2312"/>
          <w:b/>
          <w:sz w:val="32"/>
          <w:szCs w:val="32"/>
        </w:rPr>
        <w:t>（三）不断创新载体，多渠道扩展信息公开途径</w:t>
      </w:r>
    </w:p>
    <w:p w14:paraId="728F6CF5">
      <w:pPr>
        <w:widowControl/>
        <w:spacing w:line="600" w:lineRule="exact"/>
        <w:ind w:firstLine="674"/>
        <w:jc w:val="left"/>
        <w:rPr>
          <w:rFonts w:hint="eastAsia" w:ascii="仿宋_GB2312" w:eastAsia="仿宋_GB2312"/>
          <w:sz w:val="32"/>
          <w:szCs w:val="32"/>
          <w:lang w:eastAsia="zh-CN"/>
        </w:rPr>
      </w:pPr>
      <w:r>
        <w:rPr>
          <w:rFonts w:hint="eastAsia" w:ascii="仿宋_GB2312" w:eastAsia="仿宋_GB2312"/>
          <w:sz w:val="32"/>
          <w:szCs w:val="32"/>
        </w:rPr>
        <w:t>为帮助师生员工和社会公众更便捷、更有效地获取信息， 学院在宣传橱窗、公示栏、LED大屏幕、OA系统等传统载体的基础上，充分发挥互联网时代新媒体的作用。一是继续发挥网站作为信息公开主渠道的作用，加强学校门户网站、信息公开</w:t>
      </w:r>
      <w:r>
        <w:rPr>
          <w:rFonts w:hint="eastAsia" w:ascii="仿宋_GB2312" w:eastAsia="仿宋_GB2312"/>
          <w:sz w:val="32"/>
          <w:szCs w:val="32"/>
          <w:lang w:val="en-US" w:eastAsia="zh-CN"/>
        </w:rPr>
        <w:t>专栏</w:t>
      </w:r>
      <w:r>
        <w:rPr>
          <w:rFonts w:hint="eastAsia" w:ascii="仿宋_GB2312" w:eastAsia="仿宋_GB2312"/>
          <w:sz w:val="32"/>
          <w:szCs w:val="32"/>
        </w:rPr>
        <w:t>以及各二级单位网站的建设和维护，充分运用各种方式发布、展示、解读信息；二是</w:t>
      </w:r>
      <w:r>
        <w:rPr>
          <w:rFonts w:hint="eastAsia" w:ascii="仿宋_GB2312" w:eastAsia="仿宋_GB2312"/>
          <w:sz w:val="32"/>
          <w:szCs w:val="32"/>
          <w:lang w:val="en-US" w:eastAsia="zh-CN"/>
        </w:rPr>
        <w:t>完善辽宁阳光校园平台</w:t>
      </w:r>
      <w:r>
        <w:rPr>
          <w:rFonts w:hint="eastAsia" w:ascii="仿宋_GB2312" w:eastAsia="仿宋_GB2312"/>
          <w:sz w:val="32"/>
          <w:szCs w:val="32"/>
        </w:rPr>
        <w:t>，及时公布公示学院重要信息，诸如干部任免、职称评定等等，拓展信息公开渠道，提高信息服务质量</w:t>
      </w:r>
      <w:r>
        <w:rPr>
          <w:rFonts w:hint="eastAsia" w:ascii="仿宋_GB2312" w:eastAsia="仿宋_GB2312"/>
          <w:sz w:val="32"/>
          <w:szCs w:val="32"/>
          <w:lang w:eastAsia="zh-CN"/>
        </w:rPr>
        <w:t>；</w:t>
      </w:r>
      <w:r>
        <w:rPr>
          <w:rFonts w:hint="eastAsia" w:ascii="仿宋_GB2312" w:eastAsia="仿宋_GB2312"/>
          <w:sz w:val="32"/>
          <w:szCs w:val="32"/>
        </w:rPr>
        <w:t>三是发布辽宁农业职业技术学院新媒体矩阵</w:t>
      </w:r>
      <w:r>
        <w:rPr>
          <w:rFonts w:hint="eastAsia" w:ascii="仿宋_GB2312" w:eastAsia="仿宋_GB2312"/>
          <w:sz w:val="32"/>
          <w:szCs w:val="32"/>
          <w:lang w:eastAsia="zh-CN"/>
        </w:rPr>
        <w:t>，</w:t>
      </w:r>
      <w:r>
        <w:rPr>
          <w:rFonts w:hint="eastAsia" w:ascii="仿宋_GB2312" w:eastAsia="仿宋_GB2312"/>
          <w:sz w:val="32"/>
          <w:szCs w:val="32"/>
          <w:lang w:val="en-US" w:eastAsia="zh-CN"/>
        </w:rPr>
        <w:t>如  学校官方微信公众号 、学校官方微信视频号、学校官方抖音</w:t>
      </w:r>
      <w:r>
        <w:rPr>
          <w:rFonts w:hint="eastAsia" w:ascii="仿宋_GB2312" w:eastAsia="仿宋_GB2312"/>
          <w:sz w:val="32"/>
          <w:szCs w:val="32"/>
        </w:rPr>
        <w:t>等新媒体手段，及时推送有效、有用的信息，加强移动终端的信息推送服务</w:t>
      </w:r>
      <w:r>
        <w:rPr>
          <w:rFonts w:hint="eastAsia" w:ascii="仿宋_GB2312" w:eastAsia="仿宋_GB2312"/>
          <w:sz w:val="32"/>
          <w:szCs w:val="32"/>
          <w:lang w:eastAsia="zh-CN"/>
        </w:rPr>
        <w:t>。</w:t>
      </w:r>
    </w:p>
    <w:p w14:paraId="5B8708A6">
      <w:pPr>
        <w:widowControl/>
        <w:spacing w:line="600" w:lineRule="exact"/>
        <w:ind w:firstLine="640" w:firstLineChars="20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二、信息主动公开情况</w:t>
      </w:r>
    </w:p>
    <w:p w14:paraId="7EEBD318">
      <w:pPr>
        <w:widowControl/>
        <w:spacing w:line="600" w:lineRule="exact"/>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（一）主动公开方式</w:t>
      </w:r>
    </w:p>
    <w:p w14:paraId="2A69A42D">
      <w:pPr>
        <w:widowControl/>
        <w:spacing w:line="600" w:lineRule="exact"/>
        <w:ind w:firstLine="674"/>
        <w:jc w:val="left"/>
        <w:rPr>
          <w:rFonts w:ascii="仿宋_GB2312" w:eastAsia="仿宋_GB2312"/>
          <w:sz w:val="32"/>
          <w:szCs w:val="32"/>
        </w:rPr>
      </w:pPr>
      <w:r>
        <w:rPr>
          <w:rFonts w:hint="eastAsia" w:ascii="仿宋_GB2312" w:eastAsia="仿宋_GB2312"/>
          <w:sz w:val="32"/>
          <w:szCs w:val="32"/>
        </w:rPr>
        <w:t>1.辽宁农业职业技术学院门户网站、信息公开专题网、官方微信、OA 办公系统、</w:t>
      </w:r>
      <w:r>
        <w:rPr>
          <w:rFonts w:hint="eastAsia" w:ascii="仿宋_GB2312" w:eastAsia="仿宋_GB2312"/>
          <w:sz w:val="32"/>
          <w:szCs w:val="32"/>
          <w:lang w:val="en-US" w:eastAsia="zh-CN"/>
        </w:rPr>
        <w:t>校园阳光平台、</w:t>
      </w:r>
      <w:r>
        <w:rPr>
          <w:rFonts w:hint="eastAsia" w:ascii="仿宋_GB2312" w:eastAsia="仿宋_GB2312"/>
          <w:sz w:val="32"/>
          <w:szCs w:val="32"/>
        </w:rPr>
        <w:t>学院各二级单位的网站等；</w:t>
      </w:r>
    </w:p>
    <w:p w14:paraId="31E2B252">
      <w:pPr>
        <w:widowControl/>
        <w:spacing w:line="600" w:lineRule="exact"/>
        <w:ind w:firstLine="674"/>
        <w:jc w:val="left"/>
        <w:rPr>
          <w:rFonts w:ascii="仿宋_GB2312" w:eastAsia="仿宋_GB2312"/>
          <w:sz w:val="32"/>
          <w:szCs w:val="32"/>
        </w:rPr>
      </w:pPr>
      <w:r>
        <w:rPr>
          <w:rFonts w:hint="eastAsia" w:ascii="仿宋_GB2312" w:eastAsia="仿宋_GB2312"/>
          <w:sz w:val="32"/>
          <w:szCs w:val="32"/>
        </w:rPr>
        <w:t>2.学院电子显示屏、信息公告栏、宣传橱窗等；</w:t>
      </w:r>
    </w:p>
    <w:p w14:paraId="70E6CE34">
      <w:pPr>
        <w:widowControl/>
        <w:spacing w:line="600" w:lineRule="exact"/>
        <w:ind w:firstLine="674"/>
        <w:jc w:val="left"/>
        <w:rPr>
          <w:rFonts w:ascii="仿宋_GB2312" w:eastAsia="仿宋_GB2312"/>
          <w:sz w:val="32"/>
          <w:szCs w:val="32"/>
        </w:rPr>
      </w:pPr>
      <w:r>
        <w:rPr>
          <w:rFonts w:hint="eastAsia" w:ascii="仿宋_GB2312" w:eastAsia="仿宋_GB2312"/>
          <w:sz w:val="32"/>
          <w:szCs w:val="32"/>
        </w:rPr>
        <w:t>3.全院教职工大会、教代会、中层干部工作会、重大事项通报会等会议；</w:t>
      </w:r>
    </w:p>
    <w:p w14:paraId="726E5472">
      <w:pPr>
        <w:widowControl/>
        <w:spacing w:line="600" w:lineRule="exact"/>
        <w:ind w:firstLine="707" w:firstLineChars="221"/>
        <w:jc w:val="left"/>
        <w:rPr>
          <w:rFonts w:ascii="仿宋_GB2312" w:eastAsia="仿宋_GB2312"/>
          <w:sz w:val="32"/>
          <w:szCs w:val="32"/>
        </w:rPr>
      </w:pPr>
      <w:r>
        <w:rPr>
          <w:rFonts w:hint="eastAsia" w:ascii="仿宋_GB2312" w:eastAsia="仿宋_GB2312"/>
          <w:sz w:val="32"/>
          <w:szCs w:val="32"/>
        </w:rPr>
        <w:t>4.其他形式（如规章制度汇编册）。</w:t>
      </w:r>
    </w:p>
    <w:p w14:paraId="47CE4C90">
      <w:pPr>
        <w:widowControl/>
        <w:spacing w:line="600" w:lineRule="exact"/>
        <w:ind w:firstLine="643" w:firstLineChars="20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（二）主动公开信息情况</w:t>
      </w:r>
    </w:p>
    <w:p w14:paraId="194EB928">
      <w:pPr>
        <w:widowControl/>
        <w:spacing w:line="600" w:lineRule="exact"/>
        <w:ind w:firstLine="643" w:firstLineChars="200"/>
        <w:jc w:val="left"/>
        <w:rPr>
          <w:rFonts w:hint="eastAsia" w:ascii="仿宋_GB2312" w:eastAsia="仿宋_GB2312"/>
          <w:b/>
          <w:bCs w:val="0"/>
          <w:sz w:val="32"/>
          <w:szCs w:val="32"/>
          <w:lang w:val="en-US" w:eastAsia="zh-CN"/>
        </w:rPr>
      </w:pPr>
      <w:r>
        <w:rPr>
          <w:rFonts w:hint="eastAsia" w:ascii="仿宋_GB2312" w:eastAsia="仿宋_GB2312"/>
          <w:b/>
          <w:bCs w:val="0"/>
          <w:sz w:val="32"/>
          <w:szCs w:val="32"/>
          <w:lang w:val="en-US" w:eastAsia="zh-CN"/>
        </w:rPr>
        <w:t>1.党务信息公开</w:t>
      </w:r>
    </w:p>
    <w:p w14:paraId="4FBC84A0">
      <w:pPr>
        <w:pStyle w:val="11"/>
        <w:spacing w:line="600" w:lineRule="exact"/>
        <w:ind w:firstLine="646" w:firstLineChars="202"/>
        <w:rPr>
          <w:rFonts w:hint="default" w:ascii="仿宋_GB2312" w:hAnsi="Calibri" w:eastAsia="仿宋_GB2312" w:cs="Times New Roman"/>
          <w:sz w:val="32"/>
          <w:szCs w:val="32"/>
          <w:lang w:val="en-US"/>
        </w:rPr>
      </w:pPr>
      <w:r>
        <w:rPr>
          <w:rFonts w:hint="eastAsia" w:ascii="仿宋_GB2312" w:hAnsi="仿宋" w:eastAsia="仿宋_GB2312" w:cs="宋体"/>
          <w:kern w:val="0"/>
          <w:sz w:val="32"/>
          <w:szCs w:val="32"/>
        </w:rPr>
        <w:t>在院党委领导下，</w:t>
      </w:r>
      <w:r>
        <w:rPr>
          <w:rFonts w:hint="eastAsia" w:ascii="仿宋_GB2312" w:hAnsi="仿宋" w:eastAsia="仿宋_GB2312" w:cs="宋体"/>
          <w:kern w:val="0"/>
          <w:sz w:val="32"/>
          <w:szCs w:val="32"/>
          <w:lang w:val="en-US" w:eastAsia="zh-CN"/>
        </w:rPr>
        <w:t>学院坚持党务、政务信息公开，信息公开的主要事项有：党委会会议纪要、院长办公会会议纪要、</w:t>
      </w:r>
      <w:r>
        <w:rPr>
          <w:rFonts w:hint="eastAsia" w:ascii="仿宋_GB2312" w:eastAsia="仿宋_GB2312"/>
          <w:sz w:val="32"/>
          <w:szCs w:val="32"/>
          <w:lang w:val="en-US" w:eastAsia="zh-CN"/>
        </w:rPr>
        <w:t>省党代会代表推荐、中层干部选拔、党费收支情况、党员发展、党内评先选优、普通管理岗位聘任、党建课题立项及结题评奖等，并及时公开宣传、统战、思想政治建设、教职工精神文明创建活动等工作方面相关信息，供学院师生员工周知和参考。</w:t>
      </w:r>
    </w:p>
    <w:p w14:paraId="434F47F3">
      <w:pPr>
        <w:widowControl/>
        <w:spacing w:line="600" w:lineRule="exact"/>
        <w:ind w:firstLine="643" w:firstLineChars="200"/>
        <w:jc w:val="left"/>
        <w:rPr>
          <w:rFonts w:hint="eastAsia" w:ascii="仿宋_GB2312" w:eastAsia="仿宋_GB2312"/>
          <w:b/>
          <w:sz w:val="32"/>
          <w:szCs w:val="32"/>
        </w:rPr>
      </w:pPr>
      <w:r>
        <w:rPr>
          <w:rFonts w:hint="eastAsia" w:ascii="仿宋_GB2312" w:eastAsia="仿宋_GB2312"/>
          <w:b/>
          <w:sz w:val="32"/>
          <w:szCs w:val="32"/>
          <w:lang w:val="en-US" w:eastAsia="zh-CN"/>
        </w:rPr>
        <w:t>2</w:t>
      </w:r>
      <w:r>
        <w:rPr>
          <w:rFonts w:hint="eastAsia" w:ascii="仿宋_GB2312" w:eastAsia="仿宋_GB2312"/>
          <w:b/>
          <w:sz w:val="32"/>
          <w:szCs w:val="32"/>
        </w:rPr>
        <w:t>.招生考试信息公开</w:t>
      </w:r>
    </w:p>
    <w:p w14:paraId="679B06B8">
      <w:pPr>
        <w:pStyle w:val="11"/>
        <w:spacing w:line="600" w:lineRule="exact"/>
        <w:ind w:firstLine="640"/>
        <w:jc w:val="left"/>
        <w:rPr>
          <w:rFonts w:ascii="仿宋_GB2312" w:eastAsia="仿宋_GB2312"/>
          <w:sz w:val="32"/>
          <w:szCs w:val="32"/>
        </w:rPr>
      </w:pPr>
      <w:r>
        <w:rPr>
          <w:rFonts w:hint="eastAsia" w:ascii="仿宋_GB2312" w:eastAsia="仿宋_GB2312"/>
          <w:sz w:val="32"/>
          <w:szCs w:val="32"/>
        </w:rPr>
        <w:t>招生就业处认真贯彻落实上级文件精神，做到招生信息“十公开”，即招生政策、招生资格、招生章程、招生计划、考生资格、录取程序、录取结果、咨询及申诉渠道、重大违规事件及处理结果、录取新</w:t>
      </w:r>
      <w:r>
        <w:rPr>
          <w:rFonts w:hint="eastAsia" w:ascii="仿宋_GB2312" w:eastAsia="仿宋_GB2312"/>
          <w:sz w:val="32"/>
          <w:szCs w:val="32"/>
          <w:highlight w:val="none"/>
        </w:rPr>
        <w:t>生复查结果等信息，通过校园招生信息网、招生咨询电话、QQ群、</w:t>
      </w:r>
      <w:r>
        <w:rPr>
          <w:rFonts w:hint="eastAsia" w:ascii="仿宋_GB2312" w:eastAsia="仿宋_GB2312"/>
          <w:sz w:val="32"/>
          <w:szCs w:val="32"/>
          <w:highlight w:val="none"/>
          <w:lang w:val="en-US" w:eastAsia="zh-CN"/>
        </w:rPr>
        <w:t>微信群、</w:t>
      </w:r>
      <w:r>
        <w:rPr>
          <w:rFonts w:hint="eastAsia" w:ascii="仿宋_GB2312" w:eastAsia="仿宋_GB2312"/>
          <w:sz w:val="32"/>
          <w:szCs w:val="32"/>
          <w:highlight w:val="none"/>
        </w:rPr>
        <w:t>招生考试杂志等多种途径公开发布。本年度在招生信息网共计公开信息</w:t>
      </w:r>
      <w:r>
        <w:rPr>
          <w:rFonts w:hint="eastAsia" w:ascii="仿宋_GB2312" w:eastAsia="仿宋_GB2312"/>
          <w:sz w:val="32"/>
          <w:szCs w:val="32"/>
          <w:highlight w:val="none"/>
          <w:lang w:val="en-US" w:eastAsia="zh-CN"/>
        </w:rPr>
        <w:t>21</w:t>
      </w:r>
      <w:r>
        <w:rPr>
          <w:rFonts w:hint="eastAsia" w:ascii="仿宋_GB2312" w:eastAsia="仿宋_GB2312"/>
          <w:sz w:val="32"/>
          <w:szCs w:val="32"/>
          <w:highlight w:val="none"/>
        </w:rPr>
        <w:t>条。主要包括招生章程、单独招生方案、录取分数线、考生</w:t>
      </w:r>
      <w:r>
        <w:rPr>
          <w:rFonts w:hint="eastAsia" w:ascii="仿宋_GB2312" w:eastAsia="仿宋_GB2312"/>
          <w:sz w:val="32"/>
          <w:szCs w:val="32"/>
        </w:rPr>
        <w:t>个人录取信息查询、单独招生和中职对口升高职各专业录取人数和录取最低分、招生咨询及考生申诉、新生复查期间有关举报、调查及处理结果等。</w:t>
      </w:r>
    </w:p>
    <w:p w14:paraId="7B3B5080">
      <w:pPr>
        <w:numPr>
          <w:ilvl w:val="0"/>
          <w:numId w:val="0"/>
        </w:numPr>
        <w:spacing w:line="600" w:lineRule="exact"/>
        <w:ind w:firstLine="643" w:firstLineChars="200"/>
        <w:rPr>
          <w:rFonts w:ascii="仿宋_GB2312" w:eastAsia="仿宋_GB2312"/>
          <w:b/>
          <w:sz w:val="32"/>
          <w:szCs w:val="32"/>
        </w:rPr>
      </w:pPr>
      <w:r>
        <w:rPr>
          <w:rFonts w:hint="eastAsia" w:ascii="仿宋_GB2312" w:eastAsia="仿宋_GB2312"/>
          <w:b/>
          <w:sz w:val="32"/>
          <w:szCs w:val="32"/>
          <w:lang w:val="en-US" w:eastAsia="zh-CN"/>
        </w:rPr>
        <w:t>3.</w:t>
      </w:r>
      <w:r>
        <w:rPr>
          <w:rFonts w:hint="eastAsia" w:ascii="仿宋_GB2312" w:eastAsia="仿宋_GB2312"/>
          <w:b/>
          <w:sz w:val="32"/>
          <w:szCs w:val="32"/>
        </w:rPr>
        <w:t>教学信息公开</w:t>
      </w:r>
    </w:p>
    <w:p w14:paraId="574113BB">
      <w:pPr>
        <w:spacing w:line="600" w:lineRule="exact"/>
        <w:ind w:firstLine="640" w:firstLineChars="200"/>
      </w:pPr>
      <w:r>
        <w:rPr>
          <w:rFonts w:hint="eastAsia" w:ascii="仿宋_GB2312" w:hAnsi="Calibri" w:eastAsia="仿宋_GB2312" w:cs="Times New Roman"/>
          <w:sz w:val="32"/>
          <w:szCs w:val="32"/>
        </w:rPr>
        <w:t>在学院网站主页公开的事项有：</w:t>
      </w:r>
      <w:r>
        <w:rPr>
          <w:rFonts w:hint="eastAsia" w:ascii="仿宋_GB2312" w:hAnsi="Calibri" w:eastAsia="仿宋_GB2312" w:cs="Times New Roman"/>
          <w:sz w:val="32"/>
          <w:szCs w:val="32"/>
          <w:highlight w:val="none"/>
        </w:rPr>
        <w:t>《辽宁农业职业技术学院高等职业教育质量年度报告》《辽宁农业职业技术学院人才培养方案》、</w:t>
      </w:r>
      <w:r>
        <w:rPr>
          <w:rFonts w:hint="eastAsia" w:ascii="仿宋_GB2312" w:hAnsi="Calibri" w:eastAsia="仿宋_GB2312" w:cs="Times New Roman"/>
          <w:sz w:val="32"/>
          <w:szCs w:val="32"/>
        </w:rPr>
        <w:t>教学相关信息等。在学院网站教务处网页公开的事项有：《辽宁农业职业技术学院关于学生转学、转专业的规定》《教学工作规章制度汇编》《教学规范与质量标准汇编》等文件。《辽宁农业职业技术学院高等职业教育质量年度报告》通过现代高等职业技术教育网（原中国高职高专教育网http://www.tech.net.cn）的“高等职业教育质量年度报告”专栏进行公开；“教学质量报告”通过《辽宁农业职业技术学院高等职业教育质量年度报告》在学院网站主页、现代高等职业技术教育网“高等职业教育质量年度报告专栏”中公开。</w:t>
      </w:r>
    </w:p>
    <w:p w14:paraId="3A6B8BE9">
      <w:pPr>
        <w:widowControl/>
        <w:spacing w:line="600" w:lineRule="exact"/>
        <w:ind w:firstLine="660"/>
        <w:jc w:val="left"/>
        <w:rPr>
          <w:rFonts w:ascii="仿宋_GB2312" w:hAnsi="宋体" w:eastAsia="仿宋_GB2312" w:cs="宋体"/>
          <w:b/>
          <w:kern w:val="0"/>
          <w:sz w:val="32"/>
          <w:szCs w:val="32"/>
          <w:highlight w:val="none"/>
        </w:rPr>
      </w:pPr>
      <w:r>
        <w:rPr>
          <w:rFonts w:hint="eastAsia" w:ascii="仿宋_GB2312" w:hAnsi="宋体" w:eastAsia="仿宋_GB2312" w:cs="宋体"/>
          <w:b/>
          <w:kern w:val="0"/>
          <w:sz w:val="32"/>
          <w:szCs w:val="32"/>
          <w:lang w:val="en-US" w:eastAsia="zh-CN"/>
        </w:rPr>
        <w:t>4</w:t>
      </w:r>
      <w:r>
        <w:rPr>
          <w:rFonts w:hint="eastAsia" w:ascii="仿宋_GB2312" w:hAnsi="宋体" w:eastAsia="仿宋_GB2312" w:cs="宋体"/>
          <w:b/>
          <w:kern w:val="0"/>
          <w:sz w:val="32"/>
          <w:szCs w:val="32"/>
        </w:rPr>
        <w:t>.人事信息公开</w:t>
      </w:r>
    </w:p>
    <w:p w14:paraId="65DB852A">
      <w:pPr>
        <w:ind w:firstLine="640" w:firstLineChars="200"/>
        <w:jc w:val="left"/>
        <w:rPr>
          <w:rFonts w:ascii="仿宋_GB2312" w:eastAsia="仿宋_GB2312"/>
          <w:sz w:val="32"/>
          <w:szCs w:val="32"/>
        </w:rPr>
      </w:pPr>
      <w:r>
        <w:rPr>
          <w:rFonts w:hint="eastAsia" w:ascii="仿宋_GB2312" w:eastAsia="仿宋_GB2312"/>
          <w:sz w:val="32"/>
          <w:szCs w:val="32"/>
          <w:highlight w:val="none"/>
        </w:rPr>
        <w:t>202</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年公开人事信息</w:t>
      </w:r>
      <w:r>
        <w:rPr>
          <w:rFonts w:hint="eastAsia" w:ascii="仿宋_GB2312" w:eastAsia="仿宋_GB2312"/>
          <w:sz w:val="32"/>
          <w:szCs w:val="32"/>
          <w:highlight w:val="none"/>
          <w:lang w:val="en-US" w:eastAsia="zh-CN"/>
        </w:rPr>
        <w:t>48</w:t>
      </w:r>
      <w:r>
        <w:rPr>
          <w:rFonts w:hint="eastAsia" w:ascii="仿宋_GB2312" w:eastAsia="仿宋_GB2312"/>
          <w:sz w:val="32"/>
          <w:szCs w:val="32"/>
          <w:highlight w:val="none"/>
        </w:rPr>
        <w:t>条</w:t>
      </w:r>
      <w:r>
        <w:rPr>
          <w:rFonts w:hint="eastAsia" w:ascii="仿宋_GB2312" w:eastAsia="仿宋_GB2312"/>
          <w:sz w:val="32"/>
          <w:szCs w:val="32"/>
        </w:rPr>
        <w:t>，主要包括利用校园网主页飘窗公布高层次人才引进和公开招聘工作人员等信息，利用校园网主页“</w:t>
      </w:r>
      <w:r>
        <w:rPr>
          <w:rFonts w:ascii="仿宋_GB2312" w:eastAsia="仿宋_GB2312"/>
          <w:sz w:val="32"/>
          <w:szCs w:val="32"/>
        </w:rPr>
        <w:t>党政群团机构导航</w:t>
      </w:r>
      <w:r>
        <w:rPr>
          <w:rFonts w:hint="eastAsia" w:ascii="仿宋_GB2312" w:eastAsia="仿宋_GB2312"/>
          <w:sz w:val="32"/>
          <w:szCs w:val="32"/>
        </w:rPr>
        <w:t>-党委教师工作部（人事处、教师发展中心）”公开信息，具体为招聘公告、招聘公示、专业技术职务任职评审、专业技术岗位聘任等相关材料；利用校园网自动化办公系统公开信息，具体为</w:t>
      </w:r>
      <w:r>
        <w:rPr>
          <w:rFonts w:ascii="仿宋_GB2312" w:eastAsia="仿宋_GB2312"/>
          <w:sz w:val="32"/>
          <w:szCs w:val="32"/>
        </w:rPr>
        <w:t>拟推荐参加人才选拔人选</w:t>
      </w:r>
      <w:r>
        <w:rPr>
          <w:rFonts w:hint="eastAsia" w:ascii="仿宋_GB2312" w:eastAsia="仿宋_GB2312"/>
          <w:sz w:val="32"/>
          <w:szCs w:val="32"/>
        </w:rPr>
        <w:t>等各类</w:t>
      </w:r>
      <w:r>
        <w:rPr>
          <w:rFonts w:ascii="仿宋_GB2312" w:eastAsia="仿宋_GB2312"/>
          <w:sz w:val="32"/>
          <w:szCs w:val="32"/>
        </w:rPr>
        <w:t>公示</w:t>
      </w:r>
      <w:r>
        <w:rPr>
          <w:rFonts w:hint="eastAsia" w:ascii="仿宋_GB2312" w:eastAsia="仿宋_GB2312"/>
          <w:sz w:val="32"/>
          <w:szCs w:val="32"/>
        </w:rPr>
        <w:t>；利用辽宁人事考试网公开信息，具体为招聘公告和拟聘公示等。利用校园网主页“学院概况”栏公开信息，即学院机构设置情况。</w:t>
      </w:r>
    </w:p>
    <w:p w14:paraId="123C4099">
      <w:pPr>
        <w:spacing w:line="640" w:lineRule="exact"/>
        <w:ind w:firstLine="643" w:firstLineChars="200"/>
        <w:rPr>
          <w:rFonts w:ascii="仿宋_GB2312" w:eastAsia="仿宋_GB2312"/>
          <w:b/>
          <w:sz w:val="32"/>
          <w:szCs w:val="32"/>
        </w:rPr>
      </w:pPr>
      <w:r>
        <w:rPr>
          <w:rFonts w:hint="eastAsia" w:ascii="仿宋_GB2312" w:eastAsia="仿宋_GB2312"/>
          <w:b/>
          <w:sz w:val="32"/>
          <w:szCs w:val="32"/>
          <w:lang w:val="en-US" w:eastAsia="zh-CN"/>
        </w:rPr>
        <w:t>5</w:t>
      </w:r>
      <w:r>
        <w:rPr>
          <w:rFonts w:hint="eastAsia" w:ascii="仿宋_GB2312" w:eastAsia="仿宋_GB2312"/>
          <w:b/>
          <w:sz w:val="32"/>
          <w:szCs w:val="32"/>
        </w:rPr>
        <w:t>.学生管理工作信息公开</w:t>
      </w:r>
    </w:p>
    <w:p w14:paraId="30D4B2F7">
      <w:pPr>
        <w:spacing w:line="640" w:lineRule="exact"/>
        <w:ind w:firstLine="640" w:firstLineChars="200"/>
      </w:pPr>
      <w:r>
        <w:rPr>
          <w:rFonts w:hint="eastAsia" w:ascii="仿宋_GB2312" w:eastAsia="仿宋_GB2312"/>
          <w:sz w:val="32"/>
          <w:szCs w:val="32"/>
        </w:rPr>
        <w:t>学生管理工作公开信息有学生日常思想引导与行为管理相关规定及学</w:t>
      </w:r>
      <w:r>
        <w:rPr>
          <w:rFonts w:hint="eastAsia" w:ascii="仿宋_GB2312" w:eastAsia="仿宋_GB2312"/>
          <w:sz w:val="32"/>
          <w:szCs w:val="32"/>
          <w:highlight w:val="none"/>
        </w:rPr>
        <w:t>生奖助学金评比、评先选优、学生处分、征兵、扩招工作共</w:t>
      </w:r>
      <w:r>
        <w:rPr>
          <w:rFonts w:hint="eastAsia" w:ascii="仿宋_GB2312" w:eastAsia="仿宋_GB2312"/>
          <w:sz w:val="32"/>
          <w:szCs w:val="32"/>
          <w:highlight w:val="none"/>
          <w:lang w:val="en-US" w:eastAsia="zh-CN"/>
        </w:rPr>
        <w:t>22</w:t>
      </w:r>
      <w:r>
        <w:rPr>
          <w:rFonts w:hint="eastAsia" w:ascii="仿宋_GB2312" w:eastAsia="仿宋_GB2312"/>
          <w:sz w:val="32"/>
          <w:szCs w:val="32"/>
          <w:highlight w:val="none"/>
        </w:rPr>
        <w:t>项。</w:t>
      </w:r>
      <w:r>
        <w:rPr>
          <w:rFonts w:hint="eastAsia" w:ascii="仿宋_GB2312" w:eastAsia="仿宋_GB2312"/>
          <w:sz w:val="32"/>
          <w:szCs w:val="32"/>
        </w:rPr>
        <w:t>其中公开学生管理规定、校园秩序管理规定、学生一日生活规范、学生奖助学金评比办法、学生先进个人和先进集体评比办法、勤工助学管理办法、学生缴费管理办法、学生请假管理规定、学生违纪处分规定、学生干部自律公约、考试考核违纪与作弊认定</w:t>
      </w:r>
      <w:r>
        <w:rPr>
          <w:rFonts w:hint="eastAsia" w:ascii="仿宋_GB2312" w:eastAsia="仿宋_GB2312"/>
          <w:sz w:val="32"/>
          <w:szCs w:val="32"/>
          <w:highlight w:val="none"/>
        </w:rPr>
        <w:t>和处理办法、学生违纪处分解除办法、学生校内申诉管理办法等</w:t>
      </w:r>
      <w:r>
        <w:rPr>
          <w:rFonts w:hint="eastAsia" w:ascii="仿宋_GB2312" w:eastAsia="仿宋_GB2312"/>
          <w:sz w:val="32"/>
          <w:szCs w:val="32"/>
          <w:highlight w:val="none"/>
          <w:lang w:val="en-US" w:eastAsia="zh-CN"/>
        </w:rPr>
        <w:t>68</w:t>
      </w:r>
      <w:r>
        <w:rPr>
          <w:rFonts w:hint="eastAsia" w:ascii="仿宋_GB2312" w:eastAsia="仿宋_GB2312"/>
          <w:sz w:val="32"/>
          <w:szCs w:val="32"/>
          <w:highlight w:val="none"/>
        </w:rPr>
        <w:t>项</w:t>
      </w:r>
      <w:r>
        <w:rPr>
          <w:rFonts w:hint="eastAsia" w:ascii="仿宋_GB2312" w:eastAsia="仿宋_GB2312"/>
          <w:sz w:val="32"/>
          <w:szCs w:val="32"/>
        </w:rPr>
        <w:t>内容，公开方式为印发学生手册，学生每人一本，同时部分内容在学生处网</w:t>
      </w:r>
      <w:r>
        <w:rPr>
          <w:rFonts w:hint="eastAsia" w:ascii="仿宋_GB2312" w:eastAsia="仿宋_GB2312"/>
          <w:sz w:val="32"/>
          <w:szCs w:val="32"/>
          <w:lang w:val="en-US" w:eastAsia="zh-CN"/>
        </w:rPr>
        <w:t>站</w:t>
      </w:r>
      <w:r>
        <w:rPr>
          <w:rFonts w:hint="eastAsia" w:ascii="仿宋_GB2312" w:eastAsia="仿宋_GB2312"/>
          <w:sz w:val="32"/>
          <w:szCs w:val="32"/>
        </w:rPr>
        <w:t>上有公告。学生奖助学金评比、评优选先等相关信息，通过开学典礼、学生处网</w:t>
      </w:r>
      <w:r>
        <w:rPr>
          <w:rFonts w:hint="eastAsia" w:ascii="仿宋_GB2312" w:eastAsia="仿宋_GB2312"/>
          <w:sz w:val="32"/>
          <w:szCs w:val="32"/>
          <w:lang w:val="en-US" w:eastAsia="zh-CN"/>
        </w:rPr>
        <w:t>站</w:t>
      </w:r>
      <w:r>
        <w:rPr>
          <w:rFonts w:hint="eastAsia" w:ascii="仿宋_GB2312" w:eastAsia="仿宋_GB2312"/>
          <w:sz w:val="32"/>
          <w:szCs w:val="32"/>
        </w:rPr>
        <w:t>、学院宣传栏公示。学生违纪处分信息，通过班级群与学院宣传栏公示。征兵工作信息通过鲅鱼圈武装部来我院进行征兵宣讲与院内征兵工作群进行宣传落实，其次通过</w:t>
      </w:r>
      <w:r>
        <w:rPr>
          <w:rFonts w:hint="eastAsia" w:ascii="仿宋_GB2312" w:eastAsia="仿宋_GB2312"/>
          <w:sz w:val="32"/>
          <w:szCs w:val="32"/>
          <w:lang w:val="en-US" w:eastAsia="zh-CN"/>
        </w:rPr>
        <w:t>宣传</w:t>
      </w:r>
      <w:r>
        <w:rPr>
          <w:rFonts w:hint="eastAsia" w:ascii="仿宋_GB2312" w:eastAsia="仿宋_GB2312"/>
          <w:sz w:val="32"/>
          <w:szCs w:val="32"/>
        </w:rPr>
        <w:t>条幅、</w:t>
      </w:r>
      <w:r>
        <w:rPr>
          <w:rFonts w:hint="eastAsia" w:ascii="仿宋_GB2312" w:eastAsia="仿宋_GB2312"/>
          <w:sz w:val="32"/>
          <w:szCs w:val="32"/>
          <w:lang w:val="en-US" w:eastAsia="zh-CN"/>
        </w:rPr>
        <w:t>宣传展板、</w:t>
      </w:r>
      <w:r>
        <w:rPr>
          <w:rFonts w:hint="eastAsia" w:ascii="仿宋_GB2312" w:eastAsia="仿宋_GB2312"/>
          <w:sz w:val="32"/>
          <w:szCs w:val="32"/>
        </w:rPr>
        <w:t>宣传栏、广播、网站、微信平台等载体进行宣传与公示。</w:t>
      </w:r>
    </w:p>
    <w:p w14:paraId="6DB029F1">
      <w:pPr>
        <w:pStyle w:val="11"/>
        <w:spacing w:line="640" w:lineRule="exact"/>
        <w:ind w:firstLine="649" w:firstLineChars="202"/>
        <w:rPr>
          <w:rFonts w:ascii="仿宋_GB2312" w:eastAsia="仿宋_GB2312"/>
          <w:b/>
          <w:sz w:val="32"/>
          <w:szCs w:val="32"/>
        </w:rPr>
      </w:pPr>
      <w:r>
        <w:rPr>
          <w:rFonts w:hint="eastAsia" w:ascii="仿宋_GB2312" w:eastAsia="仿宋_GB2312"/>
          <w:b/>
          <w:sz w:val="32"/>
          <w:szCs w:val="32"/>
          <w:lang w:val="en-US" w:eastAsia="zh-CN"/>
        </w:rPr>
        <w:t>6</w:t>
      </w:r>
      <w:r>
        <w:rPr>
          <w:rFonts w:hint="eastAsia" w:ascii="仿宋_GB2312" w:eastAsia="仿宋_GB2312"/>
          <w:b/>
          <w:sz w:val="32"/>
          <w:szCs w:val="32"/>
        </w:rPr>
        <w:t>.科研工作信息公开</w:t>
      </w:r>
    </w:p>
    <w:p w14:paraId="29A0B0A5">
      <w:pPr>
        <w:pStyle w:val="11"/>
        <w:spacing w:line="600" w:lineRule="exact"/>
        <w:ind w:firstLine="646" w:firstLineChars="202"/>
        <w:rPr>
          <w:rFonts w:ascii="仿宋_GB2312" w:eastAsia="仿宋_GB2312"/>
          <w:sz w:val="32"/>
          <w:szCs w:val="32"/>
        </w:rPr>
      </w:pPr>
      <w:r>
        <w:rPr>
          <w:rFonts w:hint="eastAsia" w:ascii="仿宋_GB2312" w:eastAsia="仿宋_GB2312"/>
          <w:sz w:val="32"/>
          <w:szCs w:val="32"/>
        </w:rPr>
        <w:t>科技工作信息公开的主要内容有：《辽宁农业职业技术学院科研经费管理办法》（新修订）；辽宁现代农业职教集团202</w:t>
      </w:r>
      <w:r>
        <w:rPr>
          <w:rFonts w:hint="eastAsia" w:ascii="仿宋_GB2312" w:eastAsia="仿宋_GB2312"/>
          <w:sz w:val="32"/>
          <w:szCs w:val="32"/>
          <w:lang w:val="en-US" w:eastAsia="zh-CN"/>
        </w:rPr>
        <w:t>4</w:t>
      </w:r>
      <w:r>
        <w:rPr>
          <w:rFonts w:hint="eastAsia" w:ascii="仿宋_GB2312" w:eastAsia="仿宋_GB2312"/>
          <w:sz w:val="32"/>
          <w:szCs w:val="32"/>
        </w:rPr>
        <w:t>年科研立项通知；辽宁省教育厅202</w:t>
      </w:r>
      <w:r>
        <w:rPr>
          <w:rFonts w:hint="eastAsia" w:ascii="仿宋_GB2312" w:eastAsia="仿宋_GB2312"/>
          <w:sz w:val="32"/>
          <w:szCs w:val="32"/>
          <w:lang w:val="en-US" w:eastAsia="zh-CN"/>
        </w:rPr>
        <w:t>4</w:t>
      </w:r>
      <w:r>
        <w:rPr>
          <w:rFonts w:hint="eastAsia" w:ascii="仿宋_GB2312" w:eastAsia="仿宋_GB2312"/>
          <w:sz w:val="32"/>
          <w:szCs w:val="32"/>
        </w:rPr>
        <w:t>基本科研项目立项推荐，在辽宁省教育厅科研管理系统填报学院省级以上科研计划项目</w:t>
      </w:r>
      <w:r>
        <w:rPr>
          <w:rFonts w:hint="eastAsia" w:ascii="仿宋_GB2312" w:eastAsia="仿宋_GB2312"/>
          <w:sz w:val="32"/>
          <w:szCs w:val="32"/>
          <w:lang w:val="en-US" w:eastAsia="zh-CN"/>
        </w:rPr>
        <w:t>20</w:t>
      </w:r>
      <w:r>
        <w:rPr>
          <w:rFonts w:hint="eastAsia" w:ascii="仿宋_GB2312" w:eastAsia="仿宋_GB2312"/>
          <w:sz w:val="32"/>
          <w:szCs w:val="32"/>
        </w:rPr>
        <w:t>0</w:t>
      </w:r>
      <w:r>
        <w:rPr>
          <w:rFonts w:hint="eastAsia" w:ascii="仿宋_GB2312" w:eastAsia="仿宋_GB2312"/>
          <w:sz w:val="32"/>
          <w:szCs w:val="32"/>
          <w:lang w:val="en-US" w:eastAsia="zh-CN"/>
        </w:rPr>
        <w:t>余</w:t>
      </w:r>
      <w:r>
        <w:rPr>
          <w:rFonts w:hint="eastAsia" w:ascii="仿宋_GB2312" w:eastAsia="仿宋_GB2312"/>
          <w:sz w:val="32"/>
          <w:szCs w:val="32"/>
        </w:rPr>
        <w:t>项；公布202</w:t>
      </w:r>
      <w:r>
        <w:rPr>
          <w:rFonts w:hint="eastAsia" w:ascii="仿宋_GB2312" w:eastAsia="仿宋_GB2312"/>
          <w:sz w:val="32"/>
          <w:szCs w:val="32"/>
          <w:lang w:val="en-US" w:eastAsia="zh-CN"/>
        </w:rPr>
        <w:t>4</w:t>
      </w:r>
      <w:r>
        <w:rPr>
          <w:rFonts w:hint="eastAsia" w:ascii="仿宋_GB2312" w:eastAsia="仿宋_GB2312"/>
          <w:sz w:val="32"/>
          <w:szCs w:val="32"/>
        </w:rPr>
        <w:t>年省级以上科研项目立项信</w:t>
      </w:r>
      <w:r>
        <w:rPr>
          <w:rFonts w:hint="eastAsia" w:ascii="仿宋_GB2312" w:eastAsia="仿宋_GB2312"/>
          <w:sz w:val="32"/>
          <w:szCs w:val="32"/>
          <w:highlight w:val="none"/>
        </w:rPr>
        <w:t>息</w:t>
      </w:r>
      <w:r>
        <w:rPr>
          <w:rFonts w:hint="eastAsia" w:ascii="仿宋_GB2312" w:eastAsia="仿宋_GB2312"/>
          <w:sz w:val="32"/>
          <w:szCs w:val="32"/>
          <w:highlight w:val="none"/>
          <w:lang w:val="en-US" w:eastAsia="zh-CN"/>
        </w:rPr>
        <w:t>4</w:t>
      </w:r>
      <w:r>
        <w:rPr>
          <w:rFonts w:hint="eastAsia" w:ascii="仿宋_GB2312" w:eastAsia="仿宋_GB2312"/>
          <w:sz w:val="32"/>
          <w:szCs w:val="32"/>
          <w:highlight w:val="none"/>
        </w:rPr>
        <w:t>项、市级项目</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项。</w:t>
      </w:r>
    </w:p>
    <w:p w14:paraId="416C9CBB">
      <w:pPr>
        <w:spacing w:line="600" w:lineRule="exact"/>
        <w:ind w:firstLine="640" w:firstLineChars="200"/>
      </w:pPr>
      <w:r>
        <w:rPr>
          <w:rFonts w:hint="eastAsia" w:ascii="仿宋_GB2312" w:hAnsi="Calibri" w:eastAsia="仿宋_GB2312" w:cs="Times New Roman"/>
          <w:sz w:val="32"/>
          <w:szCs w:val="32"/>
        </w:rPr>
        <w:t>在本年度科技管理工作中，及时公开了以下具体信息，并按文件要求完成了各专项工作：辽宁省科技厅各类计划项目申报通知，辽宁省人社厅科技成果评选的通知、辽宁省科技厅重点实验室及技术创新中心申报运行报告及整合通知、辽宁省及营口市自然科学学术成果奖评审有关材料、辽宁省优秀科技工作者</w:t>
      </w:r>
      <w:r>
        <w:rPr>
          <w:rFonts w:hint="eastAsia" w:ascii="仿宋_GB2312" w:hAnsi="Calibri" w:eastAsia="仿宋_GB2312" w:cs="Times New Roman"/>
          <w:sz w:val="32"/>
          <w:szCs w:val="32"/>
          <w:lang w:val="en-US" w:eastAsia="zh-CN"/>
        </w:rPr>
        <w:t>等</w:t>
      </w:r>
      <w:r>
        <w:rPr>
          <w:rFonts w:hint="eastAsia" w:ascii="仿宋_GB2312" w:hAnsi="Calibri" w:eastAsia="仿宋_GB2312" w:cs="Times New Roman"/>
          <w:sz w:val="32"/>
          <w:szCs w:val="32"/>
        </w:rPr>
        <w:t>评选通知。</w:t>
      </w:r>
    </w:p>
    <w:p w14:paraId="5424925A">
      <w:pPr>
        <w:widowControl/>
        <w:spacing w:line="600" w:lineRule="exact"/>
        <w:ind w:firstLine="964" w:firstLineChars="300"/>
        <w:jc w:val="left"/>
        <w:rPr>
          <w:rFonts w:ascii="仿宋_GB2312" w:eastAsia="仿宋_GB2312"/>
          <w:b/>
          <w:sz w:val="32"/>
          <w:szCs w:val="32"/>
        </w:rPr>
      </w:pPr>
      <w:r>
        <w:rPr>
          <w:rFonts w:hint="eastAsia" w:ascii="仿宋_GB2312" w:eastAsia="仿宋_GB2312"/>
          <w:b/>
          <w:sz w:val="32"/>
          <w:szCs w:val="32"/>
          <w:lang w:val="en-US" w:eastAsia="zh-CN"/>
        </w:rPr>
        <w:t>7</w:t>
      </w:r>
      <w:r>
        <w:rPr>
          <w:rFonts w:hint="eastAsia" w:ascii="仿宋_GB2312" w:eastAsia="仿宋_GB2312"/>
          <w:b/>
          <w:sz w:val="32"/>
          <w:szCs w:val="32"/>
        </w:rPr>
        <w:t>.财务资产及收费信息公开</w:t>
      </w:r>
    </w:p>
    <w:p w14:paraId="14014871">
      <w:pPr>
        <w:widowControl/>
        <w:spacing w:line="600" w:lineRule="exact"/>
        <w:ind w:left="210" w:leftChars="100"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本年度，公开公示财务信息包括学生收费标准、学生宿舍收费标准一览表、202</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年部门决算、202</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 xml:space="preserve">年部门预算、国家或学院相关财经政策、规章制度等。 </w:t>
      </w:r>
    </w:p>
    <w:p w14:paraId="7ED4D732">
      <w:pPr>
        <w:widowControl/>
        <w:spacing w:line="600" w:lineRule="exact"/>
        <w:ind w:firstLine="66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多种形式公开预、决算信息。一是严格贯彻落实省财政厅、省教育厅关于做好预决算公开工作的要求，及时、准确在学院网站信息公开栏目发布年度部门预算、决算报告。二是在教代会、年度工作会议上，主动报告财务收支、预算执行、会计核算等财务管理工作情况。三是每半年通报一次财务收支情况。四是每月初汇总整理学院项目资金预算执行情况，通报给院领导、相关业务部门、项目责任单位以及项目负责人，通报各类财政资金使用进度等情况。 </w:t>
      </w:r>
    </w:p>
    <w:p w14:paraId="6A6F2017">
      <w:pPr>
        <w:widowControl/>
        <w:spacing w:line="600" w:lineRule="exact"/>
        <w:ind w:firstLine="66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多条渠道公开学生收费信息。学院严格执行辽宁省教育收费公示制度，多渠道全面公开相关收费政策、项目、标准和投诉方式。公开渠道主要是：学院网站信息公开专栏；收费场所（包括集中收费场地、计划财务处）；学院迎新信息管理系统、《新生入学通知书》《新生入学手册》等。 </w:t>
      </w:r>
    </w:p>
    <w:p w14:paraId="40506518">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多层面公开财务政策、规章制度信息。在学院网站信息公开专栏公开有关财务管理制度，并发布学校财务管理规定，便于全院师生员工查阅;通过OA系统、QQ群、微信群、微信公众号向全院职工宣传财务政策以及学校财务工作注意事项等，便于全院师生员工了解财务知识、做好财务工作。 </w:t>
      </w:r>
    </w:p>
    <w:p w14:paraId="637FB472">
      <w:pPr>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——招标采购信息公开。202</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年在辽宁政府采购网、中国招投标公共</w:t>
      </w:r>
      <w:r>
        <w:rPr>
          <w:rFonts w:hint="eastAsia" w:ascii="仿宋_GB2312" w:hAnsi="宋体" w:eastAsia="仿宋_GB2312" w:cs="宋体"/>
          <w:kern w:val="0"/>
          <w:sz w:val="32"/>
          <w:szCs w:val="32"/>
          <w:highlight w:val="none"/>
        </w:rPr>
        <w:t>服务平台申报50万元以上的项目，并公示招标结果的信息</w:t>
      </w:r>
      <w:r>
        <w:rPr>
          <w:rFonts w:hint="eastAsia" w:ascii="仿宋_GB2312" w:hAnsi="宋体" w:eastAsia="仿宋_GB2312" w:cs="宋体"/>
          <w:kern w:val="0"/>
          <w:sz w:val="32"/>
          <w:szCs w:val="32"/>
          <w:highlight w:val="none"/>
          <w:lang w:val="en-US" w:eastAsia="zh-CN"/>
        </w:rPr>
        <w:t>7</w:t>
      </w:r>
      <w:r>
        <w:rPr>
          <w:rFonts w:hint="eastAsia" w:ascii="仿宋_GB2312" w:hAnsi="宋体" w:eastAsia="仿宋_GB2312" w:cs="宋体"/>
          <w:kern w:val="0"/>
          <w:sz w:val="32"/>
          <w:szCs w:val="32"/>
          <w:highlight w:val="none"/>
        </w:rPr>
        <w:t>个；</w:t>
      </w:r>
      <w:bookmarkStart w:id="0" w:name="_GoBack"/>
      <w:r>
        <w:rPr>
          <w:rFonts w:hint="eastAsia" w:ascii="仿宋_GB2312" w:hAnsi="宋体" w:eastAsia="仿宋_GB2312" w:cs="宋体"/>
          <w:kern w:val="0"/>
          <w:sz w:val="32"/>
          <w:szCs w:val="32"/>
          <w:highlight w:val="none"/>
        </w:rPr>
        <w:t>在辽宁农业职业技术学院校园网上</w:t>
      </w:r>
      <w:bookmarkEnd w:id="0"/>
      <w:r>
        <w:rPr>
          <w:rFonts w:hint="eastAsia" w:ascii="仿宋_GB2312" w:hAnsi="宋体" w:eastAsia="仿宋_GB2312" w:cs="宋体"/>
          <w:kern w:val="0"/>
          <w:sz w:val="32"/>
          <w:szCs w:val="32"/>
          <w:highlight w:val="none"/>
        </w:rPr>
        <w:t>公示招标结果的信息，包括金额在5万元以上50万元以下的采购项目</w:t>
      </w:r>
      <w:r>
        <w:rPr>
          <w:rFonts w:hint="eastAsia" w:ascii="仿宋_GB2312" w:hAnsi="宋体" w:eastAsia="仿宋_GB2312" w:cs="宋体"/>
          <w:kern w:val="0"/>
          <w:sz w:val="32"/>
          <w:szCs w:val="32"/>
          <w:highlight w:val="none"/>
          <w:lang w:val="en-US" w:eastAsia="zh-CN"/>
        </w:rPr>
        <w:t>64</w:t>
      </w:r>
      <w:r>
        <w:rPr>
          <w:rFonts w:hint="eastAsia" w:ascii="仿宋_GB2312" w:hAnsi="宋体" w:eastAsia="仿宋_GB2312" w:cs="宋体"/>
          <w:kern w:val="0"/>
          <w:sz w:val="32"/>
          <w:szCs w:val="32"/>
          <w:highlight w:val="none"/>
        </w:rPr>
        <w:t>个。</w:t>
      </w:r>
      <w:r>
        <w:rPr>
          <w:rFonts w:hint="eastAsia" w:ascii="仿宋_GB2312" w:hAnsi="宋体" w:eastAsia="仿宋_GB2312" w:cs="宋体"/>
          <w:kern w:val="0"/>
          <w:sz w:val="32"/>
          <w:szCs w:val="32"/>
        </w:rPr>
        <w:t>基建工程全部公开招标。</w:t>
      </w:r>
    </w:p>
    <w:p w14:paraId="4F11A6E0">
      <w:pPr>
        <w:widowControl/>
        <w:spacing w:line="600" w:lineRule="exact"/>
        <w:ind w:firstLine="643" w:firstLineChars="200"/>
        <w:jc w:val="left"/>
        <w:rPr>
          <w:rFonts w:ascii="仿宋_GB2312" w:eastAsia="仿宋_GB2312"/>
          <w:b/>
          <w:sz w:val="32"/>
          <w:szCs w:val="32"/>
        </w:rPr>
      </w:pPr>
      <w:r>
        <w:rPr>
          <w:rFonts w:hint="eastAsia" w:ascii="仿宋_GB2312" w:eastAsia="仿宋_GB2312"/>
          <w:b/>
          <w:sz w:val="32"/>
          <w:szCs w:val="32"/>
          <w:lang w:val="en-US" w:eastAsia="zh-CN"/>
        </w:rPr>
        <w:t>8</w:t>
      </w:r>
      <w:r>
        <w:rPr>
          <w:rFonts w:hint="eastAsia" w:ascii="仿宋_GB2312" w:eastAsia="仿宋_GB2312"/>
          <w:b/>
          <w:sz w:val="32"/>
          <w:szCs w:val="32"/>
        </w:rPr>
        <w:t>.就业工作信息公开</w:t>
      </w:r>
    </w:p>
    <w:p w14:paraId="7BBA010E">
      <w:pPr>
        <w:widowControl/>
        <w:ind w:firstLine="640" w:firstLineChars="200"/>
        <w:jc w:val="left"/>
        <w:rPr>
          <w:rFonts w:ascii="仿宋_GB2312" w:hAnsi="宋体" w:eastAsia="仿宋_GB2312" w:cs="宋体"/>
          <w:kern w:val="0"/>
          <w:sz w:val="32"/>
          <w:szCs w:val="32"/>
        </w:rPr>
      </w:pPr>
      <w:r>
        <w:rPr>
          <w:rFonts w:hint="eastAsia" w:ascii="仿宋_GB2312" w:eastAsia="仿宋_GB2312"/>
          <w:sz w:val="32"/>
          <w:szCs w:val="32"/>
        </w:rPr>
        <w:t>招生就业处认真贯彻落实上级文件精神，做到就业工作透明、毕业生就业信息公开发布。</w:t>
      </w:r>
      <w:r>
        <w:rPr>
          <w:rFonts w:hint="eastAsia" w:ascii="仿宋_GB2312" w:hAnsi="Calibri" w:eastAsia="仿宋_GB2312" w:cs="Times New Roman"/>
          <w:sz w:val="32"/>
          <w:szCs w:val="32"/>
        </w:rPr>
        <w:t>通过校园就业服务网</w:t>
      </w:r>
      <w:r>
        <w:rPr>
          <w:rFonts w:ascii="仿宋_GB2312" w:hAnsi="Calibri" w:eastAsia="仿宋_GB2312" w:cs="Times New Roman"/>
          <w:sz w:val="32"/>
          <w:szCs w:val="32"/>
        </w:rPr>
        <w:t>、就业咨询服务电话、创业就业服务公众号、</w:t>
      </w:r>
      <w:r>
        <w:rPr>
          <w:rFonts w:hint="eastAsia" w:ascii="仿宋_GB2312" w:hAnsi="Calibri" w:eastAsia="仿宋_GB2312" w:cs="Times New Roman"/>
          <w:sz w:val="32"/>
          <w:szCs w:val="32"/>
        </w:rPr>
        <w:t>QQ群、微信群等</w:t>
      </w:r>
      <w:r>
        <w:rPr>
          <w:rFonts w:ascii="仿宋_GB2312" w:hAnsi="Calibri" w:eastAsia="仿宋_GB2312" w:cs="Times New Roman"/>
          <w:sz w:val="32"/>
          <w:szCs w:val="32"/>
        </w:rPr>
        <w:t>多种途径公开发布毕业生就业信息</w:t>
      </w:r>
      <w:r>
        <w:rPr>
          <w:rFonts w:hint="eastAsia" w:ascii="仿宋_GB2312" w:hAnsi="Calibri" w:eastAsia="仿宋_GB2312" w:cs="Times New Roman"/>
          <w:sz w:val="32"/>
          <w:szCs w:val="32"/>
        </w:rPr>
        <w:t>，</w:t>
      </w:r>
      <w:r>
        <w:rPr>
          <w:rFonts w:ascii="仿宋_GB2312" w:hAnsi="Calibri" w:eastAsia="仿宋_GB2312" w:cs="Times New Roman"/>
          <w:sz w:val="32"/>
          <w:szCs w:val="32"/>
        </w:rPr>
        <w:t>主要内容包括</w:t>
      </w:r>
      <w:r>
        <w:rPr>
          <w:rFonts w:hint="eastAsia" w:ascii="仿宋_GB2312" w:hAnsi="Calibri" w:eastAsia="仿宋_GB2312" w:cs="Times New Roman"/>
          <w:sz w:val="32"/>
          <w:szCs w:val="32"/>
        </w:rPr>
        <w:t>校</w:t>
      </w:r>
      <w:r>
        <w:rPr>
          <w:rFonts w:ascii="仿宋_GB2312" w:hAnsi="Calibri" w:eastAsia="仿宋_GB2312" w:cs="Times New Roman"/>
          <w:sz w:val="32"/>
          <w:szCs w:val="32"/>
        </w:rPr>
        <w:t>内外在线招聘、用人单位岗位需求信息、普通高校学生应征入伍政策、普通高校学生自主创业政策、各地省市就业政策及举措、国家</w:t>
      </w:r>
      <w:r>
        <w:rPr>
          <w:rFonts w:hint="eastAsia" w:ascii="仿宋_GB2312" w:hAnsi="Calibri" w:eastAsia="仿宋_GB2312" w:cs="Times New Roman"/>
          <w:sz w:val="32"/>
          <w:szCs w:val="32"/>
        </w:rPr>
        <w:t>24365就业服务平台信息、</w:t>
      </w:r>
      <w:r>
        <w:rPr>
          <w:rFonts w:ascii="仿宋_GB2312" w:hAnsi="Calibri" w:eastAsia="仿宋_GB2312" w:cs="Times New Roman"/>
          <w:sz w:val="32"/>
          <w:szCs w:val="32"/>
        </w:rPr>
        <w:t>毕业生跟踪调查、毕业生档案以及省优毕业生评选等信息。高校毕业生就业质量年度报告在学院就业信息网进行公开。</w:t>
      </w:r>
    </w:p>
    <w:p w14:paraId="6E2C7CF2">
      <w:pPr>
        <w:widowControl/>
        <w:spacing w:line="600" w:lineRule="exact"/>
        <w:ind w:firstLine="659"/>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三、依申请公开和不予公开情况</w:t>
      </w:r>
    </w:p>
    <w:p w14:paraId="61DFFFBA">
      <w:pPr>
        <w:widowControl/>
        <w:spacing w:line="600" w:lineRule="exact"/>
        <w:ind w:firstLine="659"/>
        <w:jc w:val="left"/>
        <w:rPr>
          <w:rFonts w:ascii="仿宋_GB2312" w:hAnsi="Calibri" w:eastAsia="仿宋_GB2312" w:cs="Times New Roman"/>
          <w:sz w:val="32"/>
          <w:szCs w:val="32"/>
        </w:rPr>
      </w:pPr>
      <w:r>
        <w:rPr>
          <w:rFonts w:hint="eastAsia" w:ascii="仿宋_GB2312" w:hAnsi="Calibri" w:eastAsia="仿宋_GB2312" w:cs="Times New Roman"/>
          <w:sz w:val="32"/>
          <w:szCs w:val="32"/>
        </w:rPr>
        <w:t>本年度我院未有依申请公开和不予公开信息的情况。</w:t>
      </w:r>
    </w:p>
    <w:p w14:paraId="7341DE90">
      <w:pPr>
        <w:widowControl/>
        <w:spacing w:line="600" w:lineRule="exact"/>
        <w:ind w:firstLine="659"/>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四、对信息公开的评议情况</w:t>
      </w:r>
    </w:p>
    <w:p w14:paraId="6BB8D9B4">
      <w:pPr>
        <w:widowControl/>
        <w:spacing w:line="600" w:lineRule="exact"/>
        <w:ind w:firstLine="659"/>
        <w:jc w:val="left"/>
        <w:rPr>
          <w:rFonts w:ascii="仿宋_GB2312" w:hAnsi="宋体" w:eastAsia="仿宋_GB2312" w:cs="宋体"/>
          <w:color w:val="000000"/>
          <w:kern w:val="0"/>
          <w:sz w:val="32"/>
          <w:szCs w:val="32"/>
        </w:rPr>
      </w:pPr>
      <w:r>
        <w:rPr>
          <w:rFonts w:hint="eastAsia" w:ascii="仿宋_GB2312" w:eastAsia="仿宋_GB2312"/>
          <w:sz w:val="32"/>
          <w:szCs w:val="32"/>
        </w:rPr>
        <w:t>本校师生员工和社会公众对学校的信息公开工作基本满意，同时也提出了希望和建议：一是增强信息公开网络建设，更多利用微信等移动客户端新媒体平台；二是进一步制定完善信息公开管理办法，进一步增加信息公开及时性和便捷性。</w:t>
      </w:r>
    </w:p>
    <w:p w14:paraId="0755E1CD">
      <w:pPr>
        <w:widowControl/>
        <w:spacing w:line="600" w:lineRule="exact"/>
        <w:ind w:firstLine="674"/>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五、因学校信息公开工作受到举报的情况</w:t>
      </w:r>
    </w:p>
    <w:p w14:paraId="40F0E1F0">
      <w:pPr>
        <w:widowControl/>
        <w:spacing w:line="600" w:lineRule="exact"/>
        <w:ind w:firstLine="674"/>
        <w:jc w:val="left"/>
        <w:rPr>
          <w:rFonts w:ascii="仿宋_GB2312" w:eastAsia="仿宋_GB2312"/>
          <w:sz w:val="32"/>
          <w:szCs w:val="32"/>
        </w:rPr>
      </w:pPr>
      <w:r>
        <w:rPr>
          <w:rFonts w:hint="eastAsia" w:ascii="仿宋_GB2312" w:hAnsi="Calibri" w:eastAsia="仿宋_GB2312" w:cs="Times New Roman"/>
          <w:sz w:val="32"/>
          <w:szCs w:val="32"/>
        </w:rPr>
        <w:t>本年度</w:t>
      </w:r>
      <w:r>
        <w:rPr>
          <w:rFonts w:hint="eastAsia" w:ascii="仿宋_GB2312" w:eastAsia="仿宋_GB2312"/>
          <w:sz w:val="32"/>
          <w:szCs w:val="32"/>
        </w:rPr>
        <w:t>的信息公开工作得到社会公众和学院师生的支持，没有出现举报或投诉。</w:t>
      </w:r>
    </w:p>
    <w:p w14:paraId="47ED7BA6">
      <w:pPr>
        <w:widowControl/>
        <w:spacing w:line="600" w:lineRule="exact"/>
        <w:ind w:firstLine="674"/>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六、信息公开工作存在的主要问题与改进措施</w:t>
      </w:r>
    </w:p>
    <w:p w14:paraId="24E29208">
      <w:pPr>
        <w:spacing w:line="600" w:lineRule="exact"/>
        <w:ind w:firstLine="640" w:firstLineChars="200"/>
        <w:rPr>
          <w:rFonts w:ascii="仿宋_GB2312" w:eastAsia="仿宋_GB2312"/>
          <w:sz w:val="32"/>
          <w:szCs w:val="32"/>
        </w:rPr>
      </w:pPr>
      <w:r>
        <w:rPr>
          <w:rFonts w:hint="eastAsia" w:ascii="仿宋_GB2312" w:hAnsi="仿宋" w:eastAsia="仿宋_GB2312"/>
          <w:sz w:val="32"/>
          <w:szCs w:val="32"/>
        </w:rPr>
        <w:t>我院将信息公开工作</w:t>
      </w:r>
      <w:r>
        <w:rPr>
          <w:rFonts w:hint="eastAsia" w:ascii="仿宋_GB2312" w:hAnsi="仿宋" w:eastAsia="仿宋_GB2312" w:cs="Times New Roman"/>
          <w:sz w:val="32"/>
          <w:szCs w:val="32"/>
        </w:rPr>
        <w:t>作为推进依法治校的重要举措，在加强顶层设计和制度保障，融合新媒体技术手段，扩大主动信息公开范围等方面开展了一系列富有成效的工作。然而</w:t>
      </w:r>
      <w:r>
        <w:rPr>
          <w:rFonts w:hint="eastAsia" w:ascii="仿宋_GB2312" w:eastAsia="仿宋_GB2312"/>
          <w:sz w:val="32"/>
          <w:szCs w:val="32"/>
        </w:rPr>
        <w:t>目前，我院在信息公开的时效性和精细化程度方面还有差距，与各类移动平台等新兴媒体的结合还不够紧密，信息公开的工作人员配备不够、培训与考核力度有待加强，信息公开的内容、形式等需进一步拓展丰富等问题。在今后的工作中，主要的改进措施如下：</w:t>
      </w:r>
    </w:p>
    <w:p w14:paraId="1E2DFC43">
      <w:pPr>
        <w:spacing w:line="620" w:lineRule="exact"/>
        <w:ind w:firstLine="643" w:firstLineChars="200"/>
        <w:rPr>
          <w:rFonts w:ascii="仿宋_GB2312" w:eastAsia="仿宋_GB2312"/>
          <w:sz w:val="32"/>
          <w:szCs w:val="32"/>
        </w:rPr>
      </w:pPr>
      <w:r>
        <w:rPr>
          <w:rFonts w:hint="eastAsia" w:ascii="仿宋_GB2312" w:eastAsia="仿宋_GB2312"/>
          <w:b/>
          <w:sz w:val="32"/>
          <w:szCs w:val="32"/>
        </w:rPr>
        <w:t>一是</w:t>
      </w:r>
      <w:r>
        <w:rPr>
          <w:rFonts w:ascii="仿宋_GB2312" w:eastAsia="仿宋_GB2312"/>
          <w:b/>
          <w:sz w:val="32"/>
          <w:szCs w:val="32"/>
        </w:rPr>
        <w:t>加强信息公开工作人员的专业培训，提升队伍的整 体工作素质和水平</w:t>
      </w:r>
      <w:r>
        <w:rPr>
          <w:rFonts w:hint="eastAsia" w:ascii="仿宋_GB2312" w:eastAsia="仿宋_GB2312"/>
          <w:b/>
          <w:sz w:val="32"/>
          <w:szCs w:val="32"/>
        </w:rPr>
        <w:t>。</w:t>
      </w:r>
      <w:r>
        <w:rPr>
          <w:rFonts w:hint="eastAsia" w:ascii="仿宋_GB2312" w:eastAsia="仿宋_GB2312"/>
          <w:sz w:val="32"/>
          <w:szCs w:val="32"/>
        </w:rPr>
        <w:t>从全局角度认识并开展信息公开工作，系统的学习关于信息公开的意义、途径、方式方法，促进高校之间的交流，学习经验和创新举措，探索统筹协同开展信息公开与校务公开、党务公开工作，全面提高做好信息公开工作的能力和水平。在不同层面、不同范围内组织相关业务培训会、工作研讨会，促进线上线下的工作互动。从信息源提升信息公开的合理性准确性，坦诚沟通工作中的困难疑惑， 加强信息公开单位与信息技术支撑服务部门间工作联动性，提升主动公开信息的更新效率。</w:t>
      </w:r>
    </w:p>
    <w:p w14:paraId="54492F49">
      <w:pPr>
        <w:spacing w:line="620" w:lineRule="exact"/>
        <w:ind w:firstLine="643" w:firstLineChars="200"/>
        <w:rPr>
          <w:rFonts w:ascii="仿宋_GB2312" w:eastAsia="仿宋_GB2312"/>
          <w:sz w:val="32"/>
          <w:szCs w:val="32"/>
        </w:rPr>
      </w:pPr>
      <w:r>
        <w:rPr>
          <w:rFonts w:hint="eastAsia" w:ascii="仿宋_GB2312" w:eastAsia="仿宋_GB2312"/>
          <w:b/>
          <w:sz w:val="32"/>
          <w:szCs w:val="32"/>
        </w:rPr>
        <w:t>二是规范化建设各级信息公开平台。</w:t>
      </w:r>
      <w:r>
        <w:rPr>
          <w:rFonts w:hint="eastAsia" w:ascii="仿宋_GB2312" w:eastAsia="仿宋_GB2312"/>
          <w:sz w:val="32"/>
          <w:szCs w:val="32"/>
        </w:rPr>
        <w:t>对于主动公开信息的各级平台，建立台帐，记录信息的收集、整理、审核、发布流程，优化信息的内容和质量，同时保证信息公开的时效性和用户可获得性；对于依申请公开信息的专用邮箱，依法依规落实信息公开的受理、办理、答复，提高服务窗口意识，切实保障社会公众的知情权、参与权。</w:t>
      </w:r>
    </w:p>
    <w:p w14:paraId="7C9D95D6">
      <w:pPr>
        <w:spacing w:line="620" w:lineRule="exact"/>
        <w:ind w:firstLine="630"/>
        <w:rPr>
          <w:rFonts w:ascii="仿宋_GB2312" w:hAnsi="仿宋" w:eastAsia="仿宋_GB2312" w:cs="Times New Roman"/>
          <w:sz w:val="32"/>
          <w:szCs w:val="32"/>
        </w:rPr>
      </w:pPr>
      <w:r>
        <w:rPr>
          <w:rFonts w:hint="eastAsia" w:ascii="仿宋_GB2312" w:eastAsia="仿宋_GB2312"/>
          <w:b/>
          <w:sz w:val="32"/>
          <w:szCs w:val="32"/>
        </w:rPr>
        <w:t>三是</w:t>
      </w:r>
      <w:r>
        <w:rPr>
          <w:rFonts w:hint="eastAsia" w:ascii="仿宋_GB2312" w:hAnsi="仿宋" w:eastAsia="仿宋_GB2312" w:cs="Times New Roman"/>
          <w:b/>
          <w:sz w:val="32"/>
          <w:szCs w:val="32"/>
        </w:rPr>
        <w:t>完善考核评议督查机制。</w:t>
      </w:r>
      <w:r>
        <w:rPr>
          <w:rFonts w:hint="eastAsia" w:ascii="仿宋_GB2312" w:hAnsi="仿宋" w:eastAsia="仿宋_GB2312" w:cs="Times New Roman"/>
          <w:sz w:val="32"/>
          <w:szCs w:val="32"/>
        </w:rPr>
        <w:t>通过例会、座谈会、问卷调查座谈会等方式，听取各界人士对学校信息公开工作的意见建议，提高公众对学校信息公开的参与度，推动学校进一步完善相关管理制度。</w:t>
      </w:r>
      <w:r>
        <w:rPr>
          <w:rFonts w:hint="eastAsia" w:ascii="仿宋_GB2312" w:eastAsia="仿宋_GB2312"/>
          <w:sz w:val="32"/>
          <w:szCs w:val="32"/>
        </w:rPr>
        <w:t>成立信息公开督察小组，加强对信息公开的指导与监督，对责任部门信息公开情况进行动态监测和定期审查，及时发现、解决工作中存在的问题， 确保落实清单公开事项不打折扣。</w:t>
      </w:r>
    </w:p>
    <w:p w14:paraId="4EE5E81A">
      <w:pPr>
        <w:spacing w:line="620" w:lineRule="exact"/>
        <w:ind w:firstLine="643" w:firstLineChars="200"/>
        <w:rPr>
          <w:rFonts w:ascii="仿宋_GB2312" w:eastAsia="仿宋_GB2312"/>
          <w:sz w:val="32"/>
          <w:szCs w:val="32"/>
        </w:rPr>
      </w:pPr>
      <w:r>
        <w:rPr>
          <w:rFonts w:hint="eastAsia" w:ascii="仿宋_GB2312" w:eastAsia="仿宋_GB2312"/>
          <w:b/>
          <w:sz w:val="32"/>
          <w:szCs w:val="32"/>
        </w:rPr>
        <w:t>四是主动探索建设二级单位的主动公开目录制度，完善信息公开分类体系的构建。</w:t>
      </w:r>
      <w:r>
        <w:rPr>
          <w:rFonts w:hint="eastAsia" w:ascii="仿宋_GB2312" w:eastAsia="仿宋_GB2312"/>
          <w:sz w:val="32"/>
          <w:szCs w:val="32"/>
        </w:rPr>
        <w:t>根据《高等学校信息公开办法》《高校信息公开事项清单》要求，借鉴政府信息公开工作中的经验，结合学院二级单位的业务范围和特点，制定学院二级单位主动公开目录，并督察实施开展。尤其要着重加强财务、招生类重点领域的信息公开工作，研究细化相关部门的具体目录。同时加强对二级单位信息公开的指导与监督，把信息公开工作纳入单位和干部的工作目标和职责范围，确保信息公开工作有序进行。</w:t>
      </w:r>
    </w:p>
    <w:p w14:paraId="2F73CB15">
      <w:pPr>
        <w:spacing w:line="620" w:lineRule="exact"/>
        <w:ind w:firstLine="640" w:firstLineChars="200"/>
        <w:rPr>
          <w:rFonts w:ascii="仿宋_GB2312" w:eastAsia="仿宋_GB2312"/>
          <w:sz w:val="32"/>
          <w:szCs w:val="32"/>
        </w:rPr>
      </w:pPr>
    </w:p>
    <w:p w14:paraId="765B4667">
      <w:pPr>
        <w:spacing w:line="620" w:lineRule="exact"/>
        <w:ind w:firstLine="640" w:firstLineChars="200"/>
        <w:rPr>
          <w:rFonts w:ascii="仿宋_GB2312" w:eastAsia="仿宋_GB2312"/>
          <w:sz w:val="32"/>
          <w:szCs w:val="32"/>
        </w:rPr>
      </w:pPr>
    </w:p>
    <w:p w14:paraId="3C8962E5">
      <w:pPr>
        <w:spacing w:line="620" w:lineRule="exact"/>
        <w:ind w:firstLine="640" w:firstLineChars="200"/>
        <w:rPr>
          <w:rFonts w:ascii="仿宋_GB2312" w:eastAsia="仿宋_GB2312"/>
          <w:sz w:val="32"/>
          <w:szCs w:val="32"/>
        </w:rPr>
      </w:pPr>
    </w:p>
    <w:p w14:paraId="62D173F5">
      <w:pPr>
        <w:spacing w:line="620" w:lineRule="exact"/>
        <w:ind w:firstLine="640" w:firstLineChars="200"/>
        <w:rPr>
          <w:rFonts w:ascii="仿宋_GB2312" w:eastAsia="仿宋_GB2312"/>
          <w:sz w:val="32"/>
          <w:szCs w:val="32"/>
        </w:rPr>
      </w:pPr>
    </w:p>
    <w:p w14:paraId="357B2EAC">
      <w:pPr>
        <w:spacing w:line="620" w:lineRule="exact"/>
        <w:ind w:firstLine="640" w:firstLineChars="200"/>
        <w:rPr>
          <w:rFonts w:ascii="仿宋_GB2312" w:eastAsia="仿宋_GB2312"/>
          <w:sz w:val="32"/>
          <w:szCs w:val="32"/>
        </w:rPr>
      </w:pPr>
    </w:p>
    <w:p w14:paraId="30C9AE61">
      <w:pPr>
        <w:spacing w:line="620" w:lineRule="exact"/>
        <w:ind w:firstLine="640" w:firstLineChars="200"/>
        <w:rPr>
          <w:rFonts w:ascii="仿宋_GB2312" w:eastAsia="仿宋_GB2312"/>
          <w:sz w:val="32"/>
          <w:szCs w:val="32"/>
        </w:rPr>
      </w:pPr>
    </w:p>
    <w:p w14:paraId="38548F2D">
      <w:pPr>
        <w:spacing w:line="620" w:lineRule="exact"/>
        <w:ind w:firstLine="640" w:firstLineChars="200"/>
        <w:rPr>
          <w:rFonts w:ascii="仿宋_GB2312" w:eastAsia="仿宋_GB2312"/>
          <w:sz w:val="32"/>
          <w:szCs w:val="32"/>
        </w:rPr>
      </w:pPr>
    </w:p>
    <w:p w14:paraId="4568778E">
      <w:pPr>
        <w:spacing w:line="620" w:lineRule="exact"/>
        <w:ind w:firstLine="640" w:firstLineChars="200"/>
        <w:rPr>
          <w:rFonts w:ascii="仿宋_GB2312" w:eastAsia="仿宋_GB2312"/>
          <w:sz w:val="32"/>
          <w:szCs w:val="32"/>
        </w:rPr>
      </w:pPr>
    </w:p>
    <w:p w14:paraId="606BBD4D">
      <w:pPr>
        <w:spacing w:line="620" w:lineRule="exact"/>
        <w:ind w:firstLine="640" w:firstLineChars="200"/>
        <w:rPr>
          <w:rFonts w:ascii="仿宋_GB2312" w:eastAsia="仿宋_GB2312"/>
          <w:sz w:val="32"/>
          <w:szCs w:val="32"/>
        </w:rPr>
      </w:pPr>
    </w:p>
    <w:p w14:paraId="4B130723">
      <w:pPr>
        <w:spacing w:line="620" w:lineRule="exact"/>
        <w:ind w:firstLine="640" w:firstLineChars="200"/>
        <w:rPr>
          <w:rFonts w:ascii="仿宋_GB2312" w:eastAsia="仿宋_GB2312"/>
          <w:sz w:val="32"/>
          <w:szCs w:val="32"/>
        </w:rPr>
      </w:pPr>
    </w:p>
    <w:p w14:paraId="20CA2364">
      <w:pPr>
        <w:spacing w:line="620" w:lineRule="exact"/>
        <w:ind w:firstLine="640" w:firstLineChars="200"/>
        <w:rPr>
          <w:rFonts w:ascii="仿宋_GB2312" w:eastAsia="仿宋_GB2312"/>
          <w:sz w:val="32"/>
          <w:szCs w:val="32"/>
        </w:rPr>
      </w:pPr>
    </w:p>
    <w:p w14:paraId="2BF83CE4">
      <w:pPr>
        <w:sectPr>
          <w:footerReference r:id="rId3" w:type="default"/>
          <w:pgSz w:w="11906" w:h="16838"/>
          <w:pgMar w:top="1440" w:right="1800" w:bottom="1440" w:left="1800" w:header="851" w:footer="992" w:gutter="0"/>
          <w:pgNumType w:fmt="numberInDash"/>
          <w:cols w:space="425" w:num="1"/>
          <w:docGrid w:type="lines" w:linePitch="312" w:charSpace="0"/>
        </w:sectPr>
      </w:pPr>
    </w:p>
    <w:p w14:paraId="0E48DFC0">
      <w:pPr>
        <w:widowControl/>
        <w:spacing w:after="156" w:afterLines="50" w:line="520" w:lineRule="exact"/>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附件：</w:t>
      </w:r>
    </w:p>
    <w:p w14:paraId="0290C512">
      <w:pPr>
        <w:widowControl/>
        <w:spacing w:after="156" w:afterLines="50" w:line="520" w:lineRule="exact"/>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辽宁农业职业技术学院落实《高等学校信息公开事项清单》的公开方式</w:t>
      </w:r>
    </w:p>
    <w:tbl>
      <w:tblPr>
        <w:tblStyle w:val="6"/>
        <w:tblW w:w="14142" w:type="dxa"/>
        <w:jc w:val="center"/>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2" w:space="0"/>
          <w:insideV w:val="single" w:color="000000" w:themeColor="text1" w:sz="2" w:space="0"/>
        </w:tblBorders>
        <w:tblLayout w:type="fixed"/>
        <w:tblCellMar>
          <w:top w:w="0" w:type="dxa"/>
          <w:left w:w="108" w:type="dxa"/>
          <w:bottom w:w="0" w:type="dxa"/>
          <w:right w:w="108" w:type="dxa"/>
        </w:tblCellMar>
      </w:tblPr>
      <w:tblGrid>
        <w:gridCol w:w="6771"/>
        <w:gridCol w:w="7371"/>
      </w:tblGrid>
      <w:tr w14:paraId="3BFABB03">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527" w:hRule="atLeast"/>
          <w:jc w:val="center"/>
        </w:trPr>
        <w:tc>
          <w:tcPr>
            <w:tcW w:w="6771" w:type="dxa"/>
          </w:tcPr>
          <w:p w14:paraId="1AC8AF4F">
            <w:pPr>
              <w:widowControl/>
              <w:wordWrap w:val="0"/>
              <w:spacing w:line="386" w:lineRule="atLeast"/>
              <w:ind w:firstLine="398"/>
              <w:jc w:val="center"/>
              <w:rPr>
                <w:rFonts w:ascii="仿宋_GB2312" w:hAnsi="Times New Roman" w:eastAsia="仿宋_GB2312" w:cs="Times New Roman"/>
                <w:color w:val="000000"/>
                <w:kern w:val="0"/>
                <w:szCs w:val="21"/>
              </w:rPr>
            </w:pPr>
            <w:r>
              <w:rPr>
                <w:rFonts w:hint="eastAsia" w:ascii="仿宋_GB2312" w:hAnsi="仿宋" w:eastAsia="仿宋_GB2312" w:cs="Times New Roman"/>
                <w:b/>
                <w:bCs/>
                <w:color w:val="000000"/>
                <w:kern w:val="0"/>
                <w:szCs w:val="21"/>
              </w:rPr>
              <w:t>《清单》所列事项</w:t>
            </w:r>
          </w:p>
        </w:tc>
        <w:tc>
          <w:tcPr>
            <w:tcW w:w="7371" w:type="dxa"/>
          </w:tcPr>
          <w:p w14:paraId="41982B67">
            <w:pPr>
              <w:widowControl/>
              <w:spacing w:line="386" w:lineRule="atLeast"/>
              <w:ind w:firstLine="398"/>
              <w:jc w:val="center"/>
              <w:rPr>
                <w:rFonts w:ascii="仿宋_GB2312" w:hAnsi="Times New Roman" w:eastAsia="仿宋_GB2312" w:cs="Times New Roman"/>
                <w:color w:val="000000"/>
                <w:kern w:val="0"/>
                <w:szCs w:val="21"/>
              </w:rPr>
            </w:pPr>
            <w:r>
              <w:rPr>
                <w:rFonts w:hint="eastAsia" w:ascii="仿宋_GB2312" w:hAnsi="仿宋" w:eastAsia="仿宋_GB2312" w:cs="Times New Roman"/>
                <w:b/>
                <w:bCs/>
                <w:color w:val="000000"/>
                <w:kern w:val="0"/>
                <w:szCs w:val="21"/>
              </w:rPr>
              <w:t>学院公开网址及其他方式</w:t>
            </w:r>
          </w:p>
        </w:tc>
      </w:tr>
      <w:tr w14:paraId="317D5576">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2" w:space="0"/>
            <w:insideV w:val="single" w:color="000000" w:themeColor="text1" w:sz="2" w:space="0"/>
          </w:tblBorders>
          <w:tblCellMar>
            <w:top w:w="0" w:type="dxa"/>
            <w:left w:w="108" w:type="dxa"/>
            <w:bottom w:w="0" w:type="dxa"/>
            <w:right w:w="108" w:type="dxa"/>
          </w:tblCellMar>
        </w:tblPrEx>
        <w:trPr>
          <w:jc w:val="center"/>
        </w:trPr>
        <w:tc>
          <w:tcPr>
            <w:tcW w:w="6771" w:type="dxa"/>
            <w:vAlign w:val="center"/>
          </w:tcPr>
          <w:p w14:paraId="653023CD">
            <w:pPr>
              <w:widowControl/>
              <w:spacing w:line="386" w:lineRule="atLeast"/>
              <w:rPr>
                <w:rFonts w:ascii="仿宋_GB2312" w:hAnsi="Times New Roman" w:eastAsia="仿宋_GB2312" w:cs="Times New Roman"/>
                <w:color w:val="000000"/>
                <w:kern w:val="0"/>
                <w:szCs w:val="21"/>
              </w:rPr>
            </w:pPr>
            <w:r>
              <w:rPr>
                <w:rFonts w:hint="eastAsia" w:ascii="仿宋_GB2312" w:hAnsi="仿宋" w:eastAsia="仿宋_GB2312" w:cs="Times New Roman"/>
                <w:color w:val="000000"/>
                <w:kern w:val="0"/>
                <w:szCs w:val="21"/>
              </w:rPr>
              <w:t>（</w:t>
            </w:r>
            <w:r>
              <w:rPr>
                <w:rFonts w:hint="eastAsia" w:ascii="仿宋_GB2312" w:hAnsi="Times New Roman" w:eastAsia="仿宋_GB2312" w:cs="Times New Roman"/>
                <w:color w:val="000000"/>
                <w:kern w:val="0"/>
                <w:szCs w:val="21"/>
              </w:rPr>
              <w:t>1</w:t>
            </w:r>
            <w:r>
              <w:rPr>
                <w:rFonts w:hint="eastAsia" w:ascii="仿宋_GB2312" w:hAnsi="仿宋" w:eastAsia="仿宋_GB2312" w:cs="Times New Roman"/>
                <w:color w:val="000000"/>
                <w:kern w:val="0"/>
                <w:szCs w:val="21"/>
              </w:rPr>
              <w:t>）办学基本情况</w:t>
            </w:r>
          </w:p>
        </w:tc>
        <w:tc>
          <w:tcPr>
            <w:tcW w:w="7371" w:type="dxa"/>
            <w:vAlign w:val="center"/>
          </w:tcPr>
          <w:p w14:paraId="349E91E2">
            <w:pPr>
              <w:widowControl/>
              <w:spacing w:line="386" w:lineRule="atLeast"/>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学校概况</w:t>
            </w:r>
            <w:r>
              <w:rPr>
                <w:highlight w:val="none"/>
              </w:rPr>
              <w:fldChar w:fldCharType="begin"/>
            </w:r>
            <w:r>
              <w:rPr>
                <w:highlight w:val="none"/>
              </w:rPr>
              <w:instrText xml:space="preserve"> HYPERLINK "http://www.lnnzy.ln.cn/aboutus/12-1.html" </w:instrText>
            </w:r>
            <w:r>
              <w:rPr>
                <w:highlight w:val="none"/>
              </w:rPr>
              <w:fldChar w:fldCharType="separate"/>
            </w:r>
            <w:r>
              <w:rPr>
                <w:rFonts w:ascii="Times New Roman" w:hAnsi="Times New Roman" w:eastAsia="仿宋_GB2312" w:cs="Times New Roman"/>
                <w:color w:val="000000"/>
                <w:kern w:val="0"/>
                <w:szCs w:val="21"/>
                <w:highlight w:val="none"/>
              </w:rPr>
              <w:t>http://www.lnnzy.ln.cn/aboutus/12-1.html</w:t>
            </w:r>
            <w:r>
              <w:rPr>
                <w:rFonts w:ascii="Times New Roman" w:hAnsi="Times New Roman" w:eastAsia="仿宋_GB2312" w:cs="Times New Roman"/>
                <w:color w:val="000000"/>
                <w:kern w:val="0"/>
                <w:szCs w:val="21"/>
                <w:highlight w:val="none"/>
              </w:rPr>
              <w:fldChar w:fldCharType="end"/>
            </w:r>
          </w:p>
          <w:p w14:paraId="115F6E18">
            <w:pPr>
              <w:widowControl/>
              <w:spacing w:line="386" w:lineRule="atLeast"/>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校领导简介及分工http://www.lnnzy.ln.cn/aboutus/13-1.html</w:t>
            </w:r>
          </w:p>
          <w:p w14:paraId="55F0F542">
            <w:pPr>
              <w:widowControl/>
              <w:spacing w:line="386" w:lineRule="atLeast"/>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学校机构设置http://www.lnnzy.ln.cn/aboutus/jgsz</w:t>
            </w:r>
          </w:p>
          <w:p w14:paraId="7D256C8D">
            <w:pPr>
              <w:widowControl/>
              <w:spacing w:line="386" w:lineRule="atLeast"/>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学科专业、师生人数等数据http://www.lnnzy.ln.cn/aboutus/12-1.html</w:t>
            </w:r>
          </w:p>
        </w:tc>
      </w:tr>
      <w:tr w14:paraId="353E9B6B">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955" w:hRule="atLeast"/>
          <w:jc w:val="center"/>
        </w:trPr>
        <w:tc>
          <w:tcPr>
            <w:tcW w:w="6771" w:type="dxa"/>
            <w:vAlign w:val="center"/>
          </w:tcPr>
          <w:p w14:paraId="7C2E103F">
            <w:pPr>
              <w:widowControl/>
              <w:spacing w:line="386" w:lineRule="atLeast"/>
              <w:rPr>
                <w:rFonts w:ascii="仿宋_GB2312" w:hAnsi="Times New Roman" w:eastAsia="仿宋_GB2312" w:cs="Times New Roman"/>
                <w:color w:val="000000"/>
                <w:kern w:val="0"/>
                <w:szCs w:val="21"/>
              </w:rPr>
            </w:pPr>
            <w:r>
              <w:rPr>
                <w:rFonts w:hint="eastAsia" w:ascii="仿宋_GB2312" w:hAnsi="仿宋" w:eastAsia="仿宋_GB2312" w:cs="Times New Roman"/>
                <w:color w:val="000000"/>
                <w:kern w:val="0"/>
                <w:szCs w:val="21"/>
              </w:rPr>
              <w:t>（</w:t>
            </w:r>
            <w:r>
              <w:rPr>
                <w:rFonts w:hint="eastAsia" w:ascii="仿宋_GB2312" w:hAnsi="Times New Roman" w:eastAsia="仿宋_GB2312" w:cs="Times New Roman"/>
                <w:color w:val="000000"/>
                <w:kern w:val="0"/>
                <w:szCs w:val="21"/>
              </w:rPr>
              <w:t>2</w:t>
            </w:r>
            <w:r>
              <w:rPr>
                <w:rFonts w:hint="eastAsia" w:ascii="仿宋_GB2312" w:hAnsi="仿宋" w:eastAsia="仿宋_GB2312" w:cs="Times New Roman"/>
                <w:color w:val="000000"/>
                <w:kern w:val="0"/>
                <w:szCs w:val="21"/>
              </w:rPr>
              <w:t>）学校章程及规章制度</w:t>
            </w:r>
          </w:p>
        </w:tc>
        <w:tc>
          <w:tcPr>
            <w:tcW w:w="7371" w:type="dxa"/>
            <w:vAlign w:val="center"/>
          </w:tcPr>
          <w:p w14:paraId="14E83832">
            <w:pPr>
              <w:widowControl/>
              <w:spacing w:line="386" w:lineRule="atLeast"/>
              <w:rPr>
                <w:rFonts w:ascii="Times New Roman" w:hAnsi="Times New Roman" w:eastAsia="仿宋_GB2312" w:cs="Times New Roman"/>
                <w:color w:val="000000"/>
                <w:kern w:val="0"/>
                <w:szCs w:val="21"/>
                <w:highlight w:val="none"/>
              </w:rPr>
            </w:pPr>
            <w:r>
              <w:rPr>
                <w:rFonts w:ascii="Times New Roman" w:hAnsi="Times New Roman" w:eastAsia="仿宋_GB2312" w:cs="Times New Roman"/>
                <w:color w:val="000000"/>
                <w:kern w:val="0"/>
                <w:szCs w:val="21"/>
                <w:highlight w:val="none"/>
              </w:rPr>
              <w:t>学校章程</w:t>
            </w:r>
            <w:r>
              <w:rPr>
                <w:rFonts w:hint="eastAsia" w:ascii="Times New Roman" w:hAnsi="Times New Roman" w:eastAsia="仿宋_GB2312" w:cs="Times New Roman"/>
                <w:color w:val="000000"/>
                <w:kern w:val="0"/>
                <w:szCs w:val="21"/>
                <w:highlight w:val="none"/>
              </w:rPr>
              <w:t xml:space="preserve"> </w:t>
            </w:r>
            <w:r>
              <w:rPr>
                <w:rFonts w:ascii="Times New Roman" w:hAnsi="Times New Roman" w:eastAsia="仿宋_GB2312" w:cs="Times New Roman"/>
                <w:color w:val="000000"/>
                <w:kern w:val="0"/>
                <w:szCs w:val="21"/>
                <w:highlight w:val="none"/>
              </w:rPr>
              <w:t>http://www.lnnzy.ln.cn/aboutus/15-1.html</w:t>
            </w:r>
          </w:p>
          <w:p w14:paraId="481E143E">
            <w:pPr>
              <w:widowControl/>
              <w:spacing w:line="386" w:lineRule="atLeast"/>
              <w:rPr>
                <w:rFonts w:ascii="Times New Roman" w:hAnsi="Times New Roman" w:eastAsia="仿宋_GB2312" w:cs="Times New Roman"/>
                <w:color w:val="000000"/>
                <w:kern w:val="0"/>
                <w:szCs w:val="21"/>
                <w:highlight w:val="none"/>
              </w:rPr>
            </w:pPr>
            <w:r>
              <w:rPr>
                <w:rFonts w:hint="eastAsia" w:ascii="Times New Roman" w:hAnsi="Times New Roman" w:eastAsia="仿宋_GB2312" w:cs="Times New Roman"/>
                <w:color w:val="000000"/>
                <w:kern w:val="0"/>
                <w:szCs w:val="21"/>
                <w:highlight w:val="none"/>
              </w:rPr>
              <w:t>学院发文及</w:t>
            </w:r>
            <w:r>
              <w:rPr>
                <w:rFonts w:ascii="Times New Roman" w:hAnsi="Times New Roman" w:eastAsia="仿宋_GB2312" w:cs="Times New Roman"/>
                <w:szCs w:val="21"/>
                <w:highlight w:val="none"/>
              </w:rPr>
              <w:t>《辽宁农业职业技术学院规章制度汇编</w:t>
            </w:r>
            <w:r>
              <w:rPr>
                <w:rFonts w:hint="eastAsia" w:ascii="Times New Roman" w:hAnsi="Times New Roman" w:eastAsia="仿宋_GB2312" w:cs="Times New Roman"/>
                <w:szCs w:val="21"/>
                <w:highlight w:val="none"/>
              </w:rPr>
              <w:t>（20</w:t>
            </w:r>
            <w:r>
              <w:rPr>
                <w:rFonts w:hint="eastAsia" w:ascii="Times New Roman" w:hAnsi="Times New Roman" w:eastAsia="仿宋_GB2312" w:cs="Times New Roman"/>
                <w:szCs w:val="21"/>
                <w:highlight w:val="none"/>
                <w:lang w:val="en-US" w:eastAsia="zh-CN"/>
              </w:rPr>
              <w:t>22</w:t>
            </w:r>
            <w:r>
              <w:rPr>
                <w:rFonts w:hint="eastAsia" w:ascii="Times New Roman" w:hAnsi="Times New Roman" w:eastAsia="仿宋_GB2312" w:cs="Times New Roman"/>
                <w:szCs w:val="21"/>
                <w:highlight w:val="none"/>
              </w:rPr>
              <w:t>）</w:t>
            </w:r>
            <w:r>
              <w:rPr>
                <w:rFonts w:ascii="Times New Roman" w:hAnsi="Times New Roman" w:eastAsia="仿宋_GB2312" w:cs="Times New Roman"/>
                <w:szCs w:val="21"/>
                <w:highlight w:val="none"/>
              </w:rPr>
              <w:t>》</w:t>
            </w:r>
          </w:p>
        </w:tc>
      </w:tr>
      <w:tr w14:paraId="4166A9D4">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2" w:space="0"/>
            <w:insideV w:val="single" w:color="000000" w:themeColor="text1" w:sz="2" w:space="0"/>
          </w:tblBorders>
          <w:tblCellMar>
            <w:top w:w="0" w:type="dxa"/>
            <w:left w:w="108" w:type="dxa"/>
            <w:bottom w:w="0" w:type="dxa"/>
            <w:right w:w="108" w:type="dxa"/>
          </w:tblCellMar>
        </w:tblPrEx>
        <w:trPr>
          <w:jc w:val="center"/>
        </w:trPr>
        <w:tc>
          <w:tcPr>
            <w:tcW w:w="6771" w:type="dxa"/>
            <w:vAlign w:val="center"/>
          </w:tcPr>
          <w:p w14:paraId="5197F237">
            <w:pPr>
              <w:widowControl/>
              <w:spacing w:line="386" w:lineRule="atLeast"/>
              <w:rPr>
                <w:rFonts w:ascii="仿宋_GB2312" w:hAnsi="Times New Roman" w:eastAsia="仿宋_GB2312" w:cs="Times New Roman"/>
                <w:color w:val="000000"/>
                <w:kern w:val="0"/>
                <w:szCs w:val="21"/>
              </w:rPr>
            </w:pPr>
            <w:r>
              <w:rPr>
                <w:rFonts w:hint="eastAsia" w:ascii="仿宋_GB2312" w:hAnsi="仿宋" w:eastAsia="仿宋_GB2312" w:cs="Times New Roman"/>
                <w:color w:val="000000"/>
                <w:kern w:val="0"/>
                <w:szCs w:val="21"/>
              </w:rPr>
              <w:t>（</w:t>
            </w:r>
            <w:r>
              <w:rPr>
                <w:rFonts w:hint="eastAsia" w:ascii="仿宋_GB2312" w:hAnsi="Times New Roman" w:eastAsia="仿宋_GB2312" w:cs="Times New Roman"/>
                <w:color w:val="000000"/>
                <w:kern w:val="0"/>
                <w:szCs w:val="21"/>
              </w:rPr>
              <w:t>3</w:t>
            </w:r>
            <w:r>
              <w:rPr>
                <w:rFonts w:hint="eastAsia" w:ascii="仿宋_GB2312" w:hAnsi="仿宋" w:eastAsia="仿宋_GB2312" w:cs="Times New Roman"/>
                <w:color w:val="000000"/>
                <w:kern w:val="0"/>
                <w:szCs w:val="21"/>
              </w:rPr>
              <w:t>）教职工代表大会相关制度、工作报告</w:t>
            </w:r>
          </w:p>
        </w:tc>
        <w:tc>
          <w:tcPr>
            <w:tcW w:w="7371" w:type="dxa"/>
            <w:vAlign w:val="center"/>
          </w:tcPr>
          <w:p w14:paraId="06F070B8">
            <w:pP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http://www.lnnzy.ln.cn/information/detail/204-21.html</w:t>
            </w:r>
          </w:p>
          <w:p w14:paraId="704CC962">
            <w:pP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《辽宁农业职业技术学院规章制度汇编</w:t>
            </w:r>
            <w:r>
              <w:rPr>
                <w:rFonts w:hint="eastAsia" w:ascii="Times New Roman" w:hAnsi="Times New Roman" w:eastAsia="仿宋_GB2312" w:cs="Times New Roman"/>
                <w:szCs w:val="21"/>
                <w:highlight w:val="none"/>
              </w:rPr>
              <w:t>（20</w:t>
            </w:r>
            <w:r>
              <w:rPr>
                <w:rFonts w:hint="eastAsia" w:ascii="Times New Roman" w:hAnsi="Times New Roman" w:eastAsia="仿宋_GB2312" w:cs="Times New Roman"/>
                <w:szCs w:val="21"/>
                <w:highlight w:val="none"/>
                <w:lang w:val="en-US" w:eastAsia="zh-CN"/>
              </w:rPr>
              <w:t>22</w:t>
            </w:r>
            <w:r>
              <w:rPr>
                <w:rFonts w:hint="eastAsia" w:ascii="Times New Roman" w:hAnsi="Times New Roman" w:eastAsia="仿宋_GB2312" w:cs="Times New Roman"/>
                <w:szCs w:val="21"/>
                <w:highlight w:val="none"/>
              </w:rPr>
              <w:t>）</w:t>
            </w:r>
            <w:r>
              <w:rPr>
                <w:rFonts w:ascii="Times New Roman" w:hAnsi="Times New Roman" w:eastAsia="仿宋_GB2312" w:cs="Times New Roman"/>
                <w:szCs w:val="21"/>
                <w:highlight w:val="none"/>
              </w:rPr>
              <w:t>》</w:t>
            </w:r>
          </w:p>
          <w:p w14:paraId="53F92D02">
            <w:pPr>
              <w:rPr>
                <w:rFonts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全院教职工大会</w:t>
            </w:r>
          </w:p>
        </w:tc>
      </w:tr>
      <w:tr w14:paraId="4EBB5C82">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2" w:space="0"/>
            <w:insideV w:val="single" w:color="000000" w:themeColor="text1" w:sz="2" w:space="0"/>
          </w:tblBorders>
          <w:tblCellMar>
            <w:top w:w="0" w:type="dxa"/>
            <w:left w:w="108" w:type="dxa"/>
            <w:bottom w:w="0" w:type="dxa"/>
            <w:right w:w="108" w:type="dxa"/>
          </w:tblCellMar>
        </w:tblPrEx>
        <w:trPr>
          <w:jc w:val="center"/>
        </w:trPr>
        <w:tc>
          <w:tcPr>
            <w:tcW w:w="6771" w:type="dxa"/>
            <w:vAlign w:val="center"/>
          </w:tcPr>
          <w:p w14:paraId="08BB495F">
            <w:pPr>
              <w:widowControl/>
              <w:spacing w:line="386" w:lineRule="atLeast"/>
              <w:rPr>
                <w:rFonts w:ascii="仿宋_GB2312" w:hAnsi="Times New Roman" w:eastAsia="仿宋_GB2312" w:cs="Times New Roman"/>
                <w:color w:val="000000"/>
                <w:kern w:val="0"/>
                <w:szCs w:val="21"/>
              </w:rPr>
            </w:pPr>
            <w:r>
              <w:rPr>
                <w:rFonts w:hint="eastAsia" w:ascii="仿宋_GB2312" w:hAnsi="仿宋" w:eastAsia="仿宋_GB2312" w:cs="Times New Roman"/>
                <w:color w:val="000000"/>
                <w:kern w:val="0"/>
                <w:szCs w:val="21"/>
              </w:rPr>
              <w:t>（</w:t>
            </w:r>
            <w:r>
              <w:rPr>
                <w:rFonts w:hint="eastAsia" w:ascii="仿宋_GB2312" w:hAnsi="Times New Roman" w:eastAsia="仿宋_GB2312" w:cs="Times New Roman"/>
                <w:color w:val="000000"/>
                <w:kern w:val="0"/>
                <w:szCs w:val="21"/>
              </w:rPr>
              <w:t>4</w:t>
            </w:r>
            <w:r>
              <w:rPr>
                <w:rFonts w:hint="eastAsia" w:ascii="仿宋_GB2312" w:hAnsi="仿宋" w:eastAsia="仿宋_GB2312" w:cs="Times New Roman"/>
                <w:color w:val="000000"/>
                <w:kern w:val="0"/>
                <w:szCs w:val="21"/>
              </w:rPr>
              <w:t>）学术委员会相关制度、年度报告</w:t>
            </w:r>
          </w:p>
        </w:tc>
        <w:tc>
          <w:tcPr>
            <w:tcW w:w="7371" w:type="dxa"/>
            <w:vAlign w:val="center"/>
          </w:tcPr>
          <w:p w14:paraId="4AE65B69">
            <w:pP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《辽宁农业职业技术学院规章制度汇编</w:t>
            </w:r>
            <w:r>
              <w:rPr>
                <w:rFonts w:hint="eastAsia" w:ascii="Times New Roman" w:hAnsi="Times New Roman" w:eastAsia="仿宋_GB2312" w:cs="Times New Roman"/>
                <w:szCs w:val="21"/>
                <w:highlight w:val="none"/>
              </w:rPr>
              <w:t>（20</w:t>
            </w:r>
            <w:r>
              <w:rPr>
                <w:rFonts w:hint="eastAsia" w:ascii="Times New Roman" w:hAnsi="Times New Roman" w:eastAsia="仿宋_GB2312" w:cs="Times New Roman"/>
                <w:szCs w:val="21"/>
                <w:highlight w:val="none"/>
                <w:lang w:val="en-US" w:eastAsia="zh-CN"/>
              </w:rPr>
              <w:t>22</w:t>
            </w:r>
            <w:r>
              <w:rPr>
                <w:rFonts w:hint="eastAsia" w:ascii="Times New Roman" w:hAnsi="Times New Roman" w:eastAsia="仿宋_GB2312" w:cs="Times New Roman"/>
                <w:szCs w:val="21"/>
                <w:highlight w:val="none"/>
              </w:rPr>
              <w:t>）</w:t>
            </w:r>
            <w:r>
              <w:rPr>
                <w:rFonts w:ascii="Times New Roman" w:hAnsi="Times New Roman" w:eastAsia="仿宋_GB2312" w:cs="Times New Roman"/>
                <w:szCs w:val="21"/>
                <w:highlight w:val="none"/>
              </w:rPr>
              <w:t>》</w:t>
            </w:r>
          </w:p>
          <w:p w14:paraId="23DE7D63">
            <w:pPr>
              <w:rPr>
                <w:rFonts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学术委员会全体大会</w:t>
            </w:r>
          </w:p>
        </w:tc>
      </w:tr>
      <w:tr w14:paraId="159ED1FC">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2" w:space="0"/>
            <w:insideV w:val="single" w:color="000000" w:themeColor="text1" w:sz="2" w:space="0"/>
          </w:tblBorders>
          <w:tblCellMar>
            <w:top w:w="0" w:type="dxa"/>
            <w:left w:w="108" w:type="dxa"/>
            <w:bottom w:w="0" w:type="dxa"/>
            <w:right w:w="108" w:type="dxa"/>
          </w:tblCellMar>
        </w:tblPrEx>
        <w:trPr>
          <w:jc w:val="center"/>
        </w:trPr>
        <w:tc>
          <w:tcPr>
            <w:tcW w:w="6771" w:type="dxa"/>
            <w:vAlign w:val="center"/>
          </w:tcPr>
          <w:p w14:paraId="06ED4A24">
            <w:pPr>
              <w:widowControl/>
              <w:spacing w:line="386" w:lineRule="atLeast"/>
              <w:rPr>
                <w:rFonts w:ascii="仿宋_GB2312" w:hAnsi="Times New Roman" w:eastAsia="仿宋_GB2312" w:cs="Times New Roman"/>
                <w:color w:val="000000"/>
                <w:kern w:val="0"/>
                <w:szCs w:val="21"/>
              </w:rPr>
            </w:pPr>
            <w:r>
              <w:rPr>
                <w:rFonts w:hint="eastAsia" w:ascii="仿宋_GB2312" w:hAnsi="仿宋" w:eastAsia="仿宋_GB2312" w:cs="Times New Roman"/>
                <w:color w:val="000000"/>
                <w:kern w:val="0"/>
                <w:szCs w:val="21"/>
              </w:rPr>
              <w:t>（</w:t>
            </w:r>
            <w:r>
              <w:rPr>
                <w:rFonts w:hint="eastAsia" w:ascii="仿宋_GB2312" w:hAnsi="Times New Roman" w:eastAsia="仿宋_GB2312" w:cs="Times New Roman"/>
                <w:color w:val="000000"/>
                <w:kern w:val="0"/>
                <w:szCs w:val="21"/>
              </w:rPr>
              <w:t>5</w:t>
            </w:r>
            <w:r>
              <w:rPr>
                <w:rFonts w:hint="eastAsia" w:ascii="仿宋_GB2312" w:hAnsi="仿宋" w:eastAsia="仿宋_GB2312" w:cs="Times New Roman"/>
                <w:color w:val="000000"/>
                <w:kern w:val="0"/>
                <w:szCs w:val="21"/>
              </w:rPr>
              <w:t>）学校发展规划、年度工作计划及重点工作安排</w:t>
            </w:r>
          </w:p>
        </w:tc>
        <w:tc>
          <w:tcPr>
            <w:tcW w:w="7371" w:type="dxa"/>
            <w:vAlign w:val="center"/>
          </w:tcPr>
          <w:p w14:paraId="4E382A30">
            <w:pP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全院教职工大会、教代会、中层干部工作会、重大事项通报会等会议</w:t>
            </w:r>
            <w:r>
              <w:rPr>
                <w:rFonts w:hint="eastAsia" w:ascii="Times New Roman" w:hAnsi="Times New Roman" w:eastAsia="仿宋_GB2312" w:cs="Times New Roman"/>
                <w:szCs w:val="21"/>
                <w:highlight w:val="none"/>
              </w:rPr>
              <w:t>、学院发文（OA系统）、LED大屏幕、宣传橱窗</w:t>
            </w:r>
          </w:p>
        </w:tc>
      </w:tr>
      <w:tr w14:paraId="6E3023EC">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2" w:space="0"/>
            <w:insideV w:val="single" w:color="000000" w:themeColor="text1" w:sz="2" w:space="0"/>
          </w:tblBorders>
          <w:tblCellMar>
            <w:top w:w="0" w:type="dxa"/>
            <w:left w:w="108" w:type="dxa"/>
            <w:bottom w:w="0" w:type="dxa"/>
            <w:right w:w="108" w:type="dxa"/>
          </w:tblCellMar>
        </w:tblPrEx>
        <w:trPr>
          <w:jc w:val="center"/>
        </w:trPr>
        <w:tc>
          <w:tcPr>
            <w:tcW w:w="6771" w:type="dxa"/>
            <w:shd w:val="clear" w:color="auto" w:fill="auto"/>
            <w:vAlign w:val="center"/>
          </w:tcPr>
          <w:p w14:paraId="5203978C">
            <w:pPr>
              <w:widowControl/>
              <w:tabs>
                <w:tab w:val="left" w:pos="1556"/>
              </w:tabs>
              <w:spacing w:line="386" w:lineRule="atLeast"/>
              <w:rPr>
                <w:rFonts w:hint="eastAsia" w:ascii="仿宋_GB2312" w:hAnsi="仿宋" w:eastAsia="仿宋_GB2312" w:cs="Times New Roman"/>
                <w:color w:val="000000"/>
                <w:kern w:val="0"/>
                <w:szCs w:val="21"/>
                <w:highlight w:val="none"/>
              </w:rPr>
            </w:pPr>
            <w:r>
              <w:rPr>
                <w:rFonts w:hint="eastAsia" w:ascii="仿宋_GB2312" w:hAnsi="仿宋" w:eastAsia="仿宋_GB2312" w:cs="Times New Roman"/>
                <w:color w:val="000000"/>
                <w:kern w:val="0"/>
                <w:szCs w:val="21"/>
                <w:highlight w:val="none"/>
                <w:lang w:eastAsia="zh-CN"/>
              </w:rPr>
              <w:t>（</w:t>
            </w:r>
            <w:r>
              <w:rPr>
                <w:rFonts w:hint="eastAsia" w:ascii="仿宋_GB2312" w:hAnsi="仿宋" w:eastAsia="仿宋_GB2312" w:cs="Times New Roman"/>
                <w:color w:val="000000"/>
                <w:kern w:val="0"/>
                <w:szCs w:val="21"/>
                <w:highlight w:val="none"/>
                <w:lang w:val="en-US" w:eastAsia="zh-CN"/>
              </w:rPr>
              <w:t>6</w:t>
            </w:r>
            <w:r>
              <w:rPr>
                <w:rFonts w:hint="eastAsia" w:ascii="仿宋_GB2312" w:hAnsi="仿宋" w:eastAsia="仿宋_GB2312" w:cs="Times New Roman"/>
                <w:color w:val="000000"/>
                <w:kern w:val="0"/>
                <w:szCs w:val="21"/>
                <w:highlight w:val="none"/>
                <w:lang w:eastAsia="zh-CN"/>
              </w:rPr>
              <w:t>）辽宁农业职业技术学院高等职业教育质量年度报告(2023）</w:t>
            </w:r>
          </w:p>
        </w:tc>
        <w:tc>
          <w:tcPr>
            <w:tcW w:w="7371" w:type="dxa"/>
            <w:vAlign w:val="center"/>
          </w:tcPr>
          <w:p w14:paraId="2892CCBA">
            <w:pPr>
              <w:rPr>
                <w:rFonts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http://www.lnnzy.ln.cn/information/detail/364-19.html</w:t>
            </w:r>
          </w:p>
        </w:tc>
      </w:tr>
      <w:tr w14:paraId="3CE70B63">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2" w:space="0"/>
            <w:insideV w:val="single" w:color="000000" w:themeColor="text1" w:sz="2" w:space="0"/>
          </w:tblBorders>
          <w:tblCellMar>
            <w:top w:w="0" w:type="dxa"/>
            <w:left w:w="108" w:type="dxa"/>
            <w:bottom w:w="0" w:type="dxa"/>
            <w:right w:w="108" w:type="dxa"/>
          </w:tblCellMar>
        </w:tblPrEx>
        <w:trPr>
          <w:jc w:val="center"/>
        </w:trPr>
        <w:tc>
          <w:tcPr>
            <w:tcW w:w="6771" w:type="dxa"/>
            <w:vAlign w:val="center"/>
          </w:tcPr>
          <w:p w14:paraId="078DBFAC">
            <w:pPr>
              <w:rPr>
                <w:rFonts w:ascii="仿宋_GB2312" w:hAnsi="Times New Roman" w:eastAsia="仿宋_GB2312" w:cs="Times New Roman"/>
                <w:szCs w:val="21"/>
              </w:rPr>
            </w:pPr>
            <w:r>
              <w:rPr>
                <w:rFonts w:hint="eastAsia" w:ascii="仿宋_GB2312" w:hAnsi="Times New Roman" w:eastAsia="仿宋_GB2312" w:cs="Times New Roman"/>
                <w:szCs w:val="21"/>
              </w:rPr>
              <w:t>（</w:t>
            </w:r>
            <w:r>
              <w:rPr>
                <w:rFonts w:hint="eastAsia" w:ascii="仿宋_GB2312" w:hAnsi="Times New Roman" w:eastAsia="仿宋_GB2312" w:cs="Times New Roman"/>
                <w:szCs w:val="21"/>
                <w:lang w:val="en-US" w:eastAsia="zh-CN"/>
              </w:rPr>
              <w:t>7</w:t>
            </w:r>
            <w:r>
              <w:rPr>
                <w:rFonts w:hint="eastAsia" w:ascii="仿宋_GB2312" w:hAnsi="Times New Roman" w:eastAsia="仿宋_GB2312" w:cs="Times New Roman"/>
                <w:szCs w:val="21"/>
              </w:rPr>
              <w:t>）招生章程及特殊类型招生办法，分批次、分科类招生计划</w:t>
            </w:r>
          </w:p>
        </w:tc>
        <w:tc>
          <w:tcPr>
            <w:tcW w:w="7371" w:type="dxa"/>
            <w:vAlign w:val="center"/>
          </w:tcPr>
          <w:p w14:paraId="17BCEF58">
            <w:pP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http://zsw.lnnzy.ln.cn/</w:t>
            </w:r>
          </w:p>
        </w:tc>
      </w:tr>
      <w:tr w14:paraId="6D7811D2">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2" w:space="0"/>
            <w:insideV w:val="single" w:color="000000" w:themeColor="text1" w:sz="2" w:space="0"/>
          </w:tblBorders>
          <w:tblCellMar>
            <w:top w:w="0" w:type="dxa"/>
            <w:left w:w="108" w:type="dxa"/>
            <w:bottom w:w="0" w:type="dxa"/>
            <w:right w:w="108" w:type="dxa"/>
          </w:tblCellMar>
        </w:tblPrEx>
        <w:trPr>
          <w:jc w:val="center"/>
        </w:trPr>
        <w:tc>
          <w:tcPr>
            <w:tcW w:w="6771" w:type="dxa"/>
            <w:vAlign w:val="center"/>
          </w:tcPr>
          <w:p w14:paraId="50180904">
            <w:pPr>
              <w:widowControl/>
              <w:spacing w:line="386" w:lineRule="atLeast"/>
              <w:rPr>
                <w:rFonts w:ascii="仿宋_GB2312" w:hAnsi="Times New Roman" w:eastAsia="仿宋_GB2312" w:cs="Times New Roman"/>
                <w:color w:val="000000"/>
                <w:kern w:val="0"/>
                <w:szCs w:val="21"/>
              </w:rPr>
            </w:pPr>
            <w:r>
              <w:rPr>
                <w:rFonts w:hint="eastAsia" w:ascii="仿宋_GB2312" w:hAnsi="仿宋" w:eastAsia="仿宋_GB2312" w:cs="Times New Roman"/>
                <w:color w:val="000000"/>
                <w:kern w:val="0"/>
                <w:szCs w:val="21"/>
              </w:rPr>
              <w:t>（</w:t>
            </w:r>
            <w:r>
              <w:rPr>
                <w:rFonts w:hint="eastAsia" w:ascii="仿宋_GB2312" w:hAnsi="Times New Roman" w:eastAsia="仿宋_GB2312" w:cs="Times New Roman"/>
                <w:color w:val="000000"/>
                <w:kern w:val="0"/>
                <w:szCs w:val="21"/>
                <w:lang w:val="en-US" w:eastAsia="zh-CN"/>
              </w:rPr>
              <w:t>8</w:t>
            </w:r>
            <w:r>
              <w:rPr>
                <w:rFonts w:hint="eastAsia" w:ascii="仿宋_GB2312" w:hAnsi="仿宋" w:eastAsia="仿宋_GB2312" w:cs="Times New Roman"/>
                <w:color w:val="000000"/>
                <w:kern w:val="0"/>
                <w:szCs w:val="21"/>
              </w:rPr>
              <w:t>）录取信息查询，分批次、分科类录取人数和录取最低分</w:t>
            </w:r>
          </w:p>
        </w:tc>
        <w:tc>
          <w:tcPr>
            <w:tcW w:w="7371" w:type="dxa"/>
            <w:vAlign w:val="center"/>
          </w:tcPr>
          <w:p w14:paraId="6E06D43A">
            <w:pP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http://zsw.lnnzy.ln.cn/</w:t>
            </w:r>
          </w:p>
        </w:tc>
      </w:tr>
      <w:tr w14:paraId="78E470DD">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2" w:space="0"/>
            <w:insideV w:val="single" w:color="000000" w:themeColor="text1" w:sz="2" w:space="0"/>
          </w:tblBorders>
          <w:tblCellMar>
            <w:top w:w="0" w:type="dxa"/>
            <w:left w:w="108" w:type="dxa"/>
            <w:bottom w:w="0" w:type="dxa"/>
            <w:right w:w="108" w:type="dxa"/>
          </w:tblCellMar>
        </w:tblPrEx>
        <w:trPr>
          <w:jc w:val="center"/>
        </w:trPr>
        <w:tc>
          <w:tcPr>
            <w:tcW w:w="6771" w:type="dxa"/>
            <w:vAlign w:val="center"/>
          </w:tcPr>
          <w:p w14:paraId="7C3DEA6B">
            <w:pPr>
              <w:widowControl/>
              <w:spacing w:line="386" w:lineRule="atLeast"/>
              <w:rPr>
                <w:rFonts w:ascii="仿宋_GB2312" w:hAnsi="Times New Roman" w:eastAsia="仿宋_GB2312" w:cs="Times New Roman"/>
                <w:color w:val="000000"/>
                <w:kern w:val="0"/>
                <w:szCs w:val="21"/>
              </w:rPr>
            </w:pPr>
            <w:r>
              <w:rPr>
                <w:rFonts w:hint="eastAsia" w:ascii="仿宋_GB2312" w:hAnsi="仿宋" w:eastAsia="仿宋_GB2312" w:cs="Times New Roman"/>
                <w:color w:val="000000"/>
                <w:kern w:val="0"/>
                <w:szCs w:val="21"/>
              </w:rPr>
              <w:t>（</w:t>
            </w:r>
            <w:r>
              <w:rPr>
                <w:rFonts w:hint="eastAsia" w:ascii="仿宋_GB2312" w:hAnsi="Times New Roman" w:eastAsia="仿宋_GB2312" w:cs="Times New Roman"/>
                <w:color w:val="000000"/>
                <w:kern w:val="0"/>
                <w:szCs w:val="21"/>
                <w:lang w:val="en-US" w:eastAsia="zh-CN"/>
              </w:rPr>
              <w:t>9</w:t>
            </w:r>
            <w:r>
              <w:rPr>
                <w:rFonts w:hint="eastAsia" w:ascii="仿宋_GB2312" w:hAnsi="仿宋" w:eastAsia="仿宋_GB2312" w:cs="Times New Roman"/>
                <w:color w:val="000000"/>
                <w:kern w:val="0"/>
                <w:szCs w:val="21"/>
              </w:rPr>
              <w:t>）招生咨询及考生申诉渠道，问题查处结果</w:t>
            </w:r>
          </w:p>
        </w:tc>
        <w:tc>
          <w:tcPr>
            <w:tcW w:w="7371" w:type="dxa"/>
            <w:vAlign w:val="center"/>
          </w:tcPr>
          <w:p w14:paraId="0A8218FB">
            <w:pP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http://zsw.lnnzy.ln.cn/</w:t>
            </w:r>
          </w:p>
        </w:tc>
      </w:tr>
      <w:tr w14:paraId="6F7AC510">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2" w:space="0"/>
            <w:insideV w:val="single" w:color="000000" w:themeColor="text1" w:sz="2" w:space="0"/>
          </w:tblBorders>
          <w:tblCellMar>
            <w:top w:w="0" w:type="dxa"/>
            <w:left w:w="108" w:type="dxa"/>
            <w:bottom w:w="0" w:type="dxa"/>
            <w:right w:w="108" w:type="dxa"/>
          </w:tblCellMar>
        </w:tblPrEx>
        <w:trPr>
          <w:jc w:val="center"/>
        </w:trPr>
        <w:tc>
          <w:tcPr>
            <w:tcW w:w="6771" w:type="dxa"/>
            <w:vAlign w:val="center"/>
          </w:tcPr>
          <w:p w14:paraId="1CABE35B">
            <w:pPr>
              <w:rPr>
                <w:rFonts w:ascii="仿宋_GB2312" w:hAnsi="Times New Roman" w:eastAsia="仿宋_GB2312" w:cs="Times New Roman"/>
                <w:szCs w:val="21"/>
              </w:rPr>
            </w:pPr>
            <w:r>
              <w:rPr>
                <w:rFonts w:hint="eastAsia" w:ascii="仿宋_GB2312" w:eastAsia="仿宋_GB2312" w:cs="Times New Roman" w:hAnsiTheme="minorEastAsia"/>
                <w:kern w:val="0"/>
                <w:szCs w:val="21"/>
              </w:rPr>
              <w:t>（</w:t>
            </w:r>
            <w:r>
              <w:rPr>
                <w:rFonts w:hint="eastAsia" w:ascii="仿宋_GB2312" w:eastAsia="仿宋_GB2312" w:cs="Times New Roman" w:hAnsiTheme="minorEastAsia"/>
                <w:kern w:val="0"/>
                <w:szCs w:val="21"/>
                <w:lang w:val="en-US" w:eastAsia="zh-CN"/>
              </w:rPr>
              <w:t>10</w:t>
            </w:r>
            <w:r>
              <w:rPr>
                <w:rFonts w:hint="eastAsia" w:ascii="仿宋_GB2312" w:eastAsia="仿宋_GB2312" w:cs="Times New Roman" w:hAnsiTheme="minorEastAsia"/>
                <w:kern w:val="0"/>
                <w:szCs w:val="21"/>
              </w:rPr>
              <w:t>）财务、资产管理制度</w:t>
            </w:r>
          </w:p>
        </w:tc>
        <w:tc>
          <w:tcPr>
            <w:tcW w:w="7371" w:type="dxa"/>
            <w:vAlign w:val="center"/>
          </w:tcPr>
          <w:p w14:paraId="454D3C8A">
            <w:pP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http://www.lnnzy.ln.cn/information/13.html</w:t>
            </w:r>
          </w:p>
        </w:tc>
      </w:tr>
      <w:tr w14:paraId="3BA7921B">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2" w:space="0"/>
            <w:insideV w:val="single" w:color="000000" w:themeColor="text1" w:sz="2" w:space="0"/>
          </w:tblBorders>
          <w:tblCellMar>
            <w:top w:w="0" w:type="dxa"/>
            <w:left w:w="108" w:type="dxa"/>
            <w:bottom w:w="0" w:type="dxa"/>
            <w:right w:w="108" w:type="dxa"/>
          </w:tblCellMar>
        </w:tblPrEx>
        <w:trPr>
          <w:jc w:val="center"/>
        </w:trPr>
        <w:tc>
          <w:tcPr>
            <w:tcW w:w="6771" w:type="dxa"/>
            <w:vAlign w:val="center"/>
          </w:tcPr>
          <w:p w14:paraId="41814BC1">
            <w:pPr>
              <w:spacing w:line="360" w:lineRule="exact"/>
              <w:rPr>
                <w:rFonts w:ascii="仿宋_GB2312" w:hAnsi="Times New Roman" w:eastAsia="仿宋_GB2312" w:cs="Times New Roman"/>
                <w:kern w:val="0"/>
                <w:szCs w:val="21"/>
              </w:rPr>
            </w:pPr>
            <w:r>
              <w:rPr>
                <w:rFonts w:hint="eastAsia" w:ascii="仿宋_GB2312" w:eastAsia="仿宋_GB2312" w:cs="Times New Roman" w:hAnsiTheme="minorEastAsia"/>
                <w:kern w:val="0"/>
                <w:szCs w:val="21"/>
              </w:rPr>
              <w:t>（</w:t>
            </w:r>
            <w:r>
              <w:rPr>
                <w:rFonts w:hint="eastAsia" w:ascii="仿宋_GB2312" w:hAnsi="Times New Roman" w:eastAsia="仿宋_GB2312" w:cs="Times New Roman"/>
                <w:kern w:val="0"/>
                <w:szCs w:val="21"/>
              </w:rPr>
              <w:t>1</w:t>
            </w:r>
            <w:r>
              <w:rPr>
                <w:rFonts w:hint="eastAsia" w:ascii="仿宋_GB2312" w:hAnsi="Times New Roman" w:eastAsia="仿宋_GB2312" w:cs="Times New Roman"/>
                <w:kern w:val="0"/>
                <w:szCs w:val="21"/>
                <w:lang w:val="en-US" w:eastAsia="zh-CN"/>
              </w:rPr>
              <w:t>1</w:t>
            </w:r>
            <w:r>
              <w:rPr>
                <w:rFonts w:hint="eastAsia" w:ascii="仿宋_GB2312" w:eastAsia="仿宋_GB2312" w:cs="Times New Roman" w:hAnsiTheme="minorEastAsia"/>
                <w:kern w:val="0"/>
                <w:szCs w:val="21"/>
              </w:rPr>
              <w:t>）仪器设备、图书、药品等物资设备采购和重大基建工程的招投标</w:t>
            </w:r>
          </w:p>
        </w:tc>
        <w:tc>
          <w:tcPr>
            <w:tcW w:w="7371" w:type="dxa"/>
            <w:vAlign w:val="center"/>
          </w:tcPr>
          <w:p w14:paraId="31523171">
            <w:pP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http://www.lnnzy.ln.cn/news/4.html</w:t>
            </w:r>
          </w:p>
        </w:tc>
      </w:tr>
      <w:tr w14:paraId="2CBCEB3D">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2" w:space="0"/>
            <w:insideV w:val="single" w:color="000000" w:themeColor="text1" w:sz="2" w:space="0"/>
          </w:tblBorders>
          <w:tblCellMar>
            <w:top w:w="0" w:type="dxa"/>
            <w:left w:w="108" w:type="dxa"/>
            <w:bottom w:w="0" w:type="dxa"/>
            <w:right w:w="108" w:type="dxa"/>
          </w:tblCellMar>
        </w:tblPrEx>
        <w:trPr>
          <w:jc w:val="center"/>
        </w:trPr>
        <w:tc>
          <w:tcPr>
            <w:tcW w:w="6771" w:type="dxa"/>
            <w:vAlign w:val="center"/>
          </w:tcPr>
          <w:p w14:paraId="4C7261A2">
            <w:pPr>
              <w:spacing w:line="360" w:lineRule="exact"/>
              <w:rPr>
                <w:rFonts w:ascii="仿宋_GB2312" w:hAnsi="Times New Roman" w:eastAsia="仿宋_GB2312" w:cs="Times New Roman"/>
                <w:kern w:val="0"/>
                <w:szCs w:val="21"/>
              </w:rPr>
            </w:pPr>
            <w:r>
              <w:rPr>
                <w:rFonts w:hint="eastAsia" w:ascii="仿宋_GB2312" w:eastAsia="仿宋_GB2312" w:cs="Times New Roman" w:hAnsiTheme="minorEastAsia"/>
                <w:kern w:val="0"/>
                <w:szCs w:val="21"/>
              </w:rPr>
              <w:t>（</w:t>
            </w:r>
            <w:r>
              <w:rPr>
                <w:rFonts w:hint="eastAsia" w:ascii="仿宋_GB2312" w:hAnsi="Times New Roman" w:eastAsia="仿宋_GB2312" w:cs="Times New Roman"/>
                <w:kern w:val="0"/>
                <w:szCs w:val="21"/>
              </w:rPr>
              <w:t>1</w:t>
            </w:r>
            <w:r>
              <w:rPr>
                <w:rFonts w:hint="eastAsia" w:ascii="仿宋_GB2312" w:hAnsi="Times New Roman" w:eastAsia="仿宋_GB2312" w:cs="Times New Roman"/>
                <w:kern w:val="0"/>
                <w:szCs w:val="21"/>
                <w:lang w:val="en-US" w:eastAsia="zh-CN"/>
              </w:rPr>
              <w:t>2</w:t>
            </w:r>
            <w:r>
              <w:rPr>
                <w:rFonts w:hint="eastAsia" w:ascii="仿宋_GB2312" w:eastAsia="仿宋_GB2312" w:cs="Times New Roman" w:hAnsiTheme="minorEastAsia"/>
                <w:kern w:val="0"/>
                <w:szCs w:val="21"/>
              </w:rPr>
              <w:t>）收支预算总表、收入预算表、支出预算表、财政拨款支出预算表</w:t>
            </w:r>
          </w:p>
        </w:tc>
        <w:tc>
          <w:tcPr>
            <w:tcW w:w="7371" w:type="dxa"/>
            <w:vAlign w:val="center"/>
          </w:tcPr>
          <w:p w14:paraId="2FB2C6BE">
            <w:pP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http://www.lnnzy.ln.cn/information/13.html</w:t>
            </w:r>
          </w:p>
        </w:tc>
      </w:tr>
      <w:tr w14:paraId="0BE9931F">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2" w:space="0"/>
            <w:insideV w:val="single" w:color="000000" w:themeColor="text1" w:sz="2" w:space="0"/>
          </w:tblBorders>
          <w:tblCellMar>
            <w:top w:w="0" w:type="dxa"/>
            <w:left w:w="108" w:type="dxa"/>
            <w:bottom w:w="0" w:type="dxa"/>
            <w:right w:w="108" w:type="dxa"/>
          </w:tblCellMar>
        </w:tblPrEx>
        <w:trPr>
          <w:jc w:val="center"/>
        </w:trPr>
        <w:tc>
          <w:tcPr>
            <w:tcW w:w="6771" w:type="dxa"/>
            <w:vAlign w:val="center"/>
          </w:tcPr>
          <w:p w14:paraId="0994A6BE">
            <w:pPr>
              <w:spacing w:line="360" w:lineRule="exact"/>
              <w:rPr>
                <w:rFonts w:ascii="仿宋_GB2312" w:hAnsi="Times New Roman" w:eastAsia="仿宋_GB2312" w:cs="Times New Roman"/>
                <w:kern w:val="0"/>
                <w:szCs w:val="21"/>
              </w:rPr>
            </w:pPr>
            <w:r>
              <w:rPr>
                <w:rFonts w:hint="eastAsia" w:ascii="仿宋_GB2312" w:eastAsia="仿宋_GB2312" w:cs="Times New Roman" w:hAnsiTheme="minorEastAsia"/>
                <w:kern w:val="0"/>
                <w:szCs w:val="21"/>
              </w:rPr>
              <w:t>（</w:t>
            </w:r>
            <w:r>
              <w:rPr>
                <w:rFonts w:hint="eastAsia" w:ascii="仿宋_GB2312" w:hAnsi="Times New Roman" w:eastAsia="仿宋_GB2312" w:cs="Times New Roman"/>
                <w:kern w:val="0"/>
                <w:szCs w:val="21"/>
              </w:rPr>
              <w:t>1</w:t>
            </w:r>
            <w:r>
              <w:rPr>
                <w:rFonts w:hint="eastAsia" w:ascii="仿宋_GB2312" w:hAnsi="Times New Roman" w:eastAsia="仿宋_GB2312" w:cs="Times New Roman"/>
                <w:kern w:val="0"/>
                <w:szCs w:val="21"/>
                <w:lang w:val="en-US" w:eastAsia="zh-CN"/>
              </w:rPr>
              <w:t>3</w:t>
            </w:r>
            <w:r>
              <w:rPr>
                <w:rFonts w:hint="eastAsia" w:ascii="仿宋_GB2312" w:eastAsia="仿宋_GB2312" w:cs="Times New Roman" w:hAnsiTheme="minorEastAsia"/>
                <w:kern w:val="0"/>
                <w:szCs w:val="21"/>
              </w:rPr>
              <w:t>）收支决算总表、收入决算表、支出决算表、财政拨款支出决算表</w:t>
            </w:r>
          </w:p>
        </w:tc>
        <w:tc>
          <w:tcPr>
            <w:tcW w:w="7371" w:type="dxa"/>
            <w:vAlign w:val="center"/>
          </w:tcPr>
          <w:p w14:paraId="72A2588B">
            <w:pP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http://www.lnnzy.ln.cn/information/13.html</w:t>
            </w:r>
          </w:p>
        </w:tc>
      </w:tr>
      <w:tr w14:paraId="51E7CA7E">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2" w:space="0"/>
            <w:insideV w:val="single" w:color="000000" w:themeColor="text1" w:sz="2" w:space="0"/>
          </w:tblBorders>
          <w:tblCellMar>
            <w:top w:w="0" w:type="dxa"/>
            <w:left w:w="108" w:type="dxa"/>
            <w:bottom w:w="0" w:type="dxa"/>
            <w:right w:w="108" w:type="dxa"/>
          </w:tblCellMar>
        </w:tblPrEx>
        <w:trPr>
          <w:jc w:val="center"/>
        </w:trPr>
        <w:tc>
          <w:tcPr>
            <w:tcW w:w="6771" w:type="dxa"/>
            <w:vAlign w:val="center"/>
          </w:tcPr>
          <w:p w14:paraId="0CC669AA">
            <w:pPr>
              <w:spacing w:line="360" w:lineRule="exact"/>
              <w:rPr>
                <w:rFonts w:ascii="仿宋_GB2312" w:hAnsi="Times New Roman" w:eastAsia="仿宋_GB2312" w:cs="Times New Roman"/>
                <w:kern w:val="0"/>
                <w:szCs w:val="21"/>
              </w:rPr>
            </w:pPr>
            <w:r>
              <w:rPr>
                <w:rFonts w:hint="eastAsia" w:ascii="仿宋_GB2312" w:eastAsia="仿宋_GB2312" w:cs="Times New Roman" w:hAnsiTheme="minorEastAsia"/>
                <w:kern w:val="0"/>
                <w:szCs w:val="21"/>
              </w:rPr>
              <w:t>（</w:t>
            </w:r>
            <w:r>
              <w:rPr>
                <w:rFonts w:hint="eastAsia" w:ascii="仿宋_GB2312" w:hAnsi="Times New Roman" w:eastAsia="仿宋_GB2312" w:cs="Times New Roman"/>
                <w:kern w:val="0"/>
                <w:szCs w:val="21"/>
              </w:rPr>
              <w:t>1</w:t>
            </w:r>
            <w:r>
              <w:rPr>
                <w:rFonts w:hint="eastAsia" w:ascii="仿宋_GB2312" w:hAnsi="Times New Roman" w:eastAsia="仿宋_GB2312" w:cs="Times New Roman"/>
                <w:kern w:val="0"/>
                <w:szCs w:val="21"/>
                <w:lang w:val="en-US" w:eastAsia="zh-CN"/>
              </w:rPr>
              <w:t>4</w:t>
            </w:r>
            <w:r>
              <w:rPr>
                <w:rFonts w:hint="eastAsia" w:ascii="仿宋_GB2312" w:eastAsia="仿宋_GB2312" w:cs="Times New Roman" w:hAnsiTheme="minorEastAsia"/>
                <w:kern w:val="0"/>
                <w:szCs w:val="21"/>
              </w:rPr>
              <w:t>）收费项目、收费依据、收费标准及投诉方式</w:t>
            </w:r>
          </w:p>
        </w:tc>
        <w:tc>
          <w:tcPr>
            <w:tcW w:w="7371" w:type="dxa"/>
            <w:vAlign w:val="center"/>
          </w:tcPr>
          <w:p w14:paraId="379A6773">
            <w:pP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http://www.lnnzy.ln.cn/information/13.html</w:t>
            </w:r>
          </w:p>
        </w:tc>
      </w:tr>
      <w:tr w14:paraId="653F90D0">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2" w:space="0"/>
            <w:insideV w:val="single" w:color="000000" w:themeColor="text1" w:sz="2" w:space="0"/>
          </w:tblBorders>
          <w:tblCellMar>
            <w:top w:w="0" w:type="dxa"/>
            <w:left w:w="108" w:type="dxa"/>
            <w:bottom w:w="0" w:type="dxa"/>
            <w:right w:w="108" w:type="dxa"/>
          </w:tblCellMar>
        </w:tblPrEx>
        <w:trPr>
          <w:jc w:val="center"/>
        </w:trPr>
        <w:tc>
          <w:tcPr>
            <w:tcW w:w="6771" w:type="dxa"/>
            <w:vAlign w:val="center"/>
          </w:tcPr>
          <w:p w14:paraId="5ED661BA">
            <w:pPr>
              <w:spacing w:line="360" w:lineRule="exact"/>
              <w:rPr>
                <w:rFonts w:hint="eastAsia" w:ascii="仿宋_GB2312" w:eastAsia="仿宋_GB2312" w:cs="Times New Roman" w:hAnsiTheme="minorEastAsia"/>
                <w:kern w:val="0"/>
                <w:szCs w:val="21"/>
                <w:highlight w:val="none"/>
              </w:rPr>
            </w:pPr>
            <w:r>
              <w:rPr>
                <w:rFonts w:hint="eastAsia" w:ascii="仿宋_GB2312" w:eastAsia="仿宋_GB2312" w:cs="Times New Roman" w:hAnsiTheme="minorEastAsia"/>
                <w:kern w:val="0"/>
                <w:szCs w:val="21"/>
                <w:highlight w:val="none"/>
                <w:lang w:eastAsia="zh-CN"/>
              </w:rPr>
              <w:t>（</w:t>
            </w:r>
            <w:r>
              <w:rPr>
                <w:rFonts w:hint="eastAsia" w:ascii="仿宋_GB2312" w:eastAsia="仿宋_GB2312" w:cs="Times New Roman" w:hAnsiTheme="minorEastAsia"/>
                <w:kern w:val="0"/>
                <w:szCs w:val="21"/>
                <w:highlight w:val="none"/>
                <w:lang w:val="en-US" w:eastAsia="zh-CN"/>
              </w:rPr>
              <w:t>15</w:t>
            </w:r>
            <w:r>
              <w:rPr>
                <w:rFonts w:hint="eastAsia" w:ascii="仿宋_GB2312" w:eastAsia="仿宋_GB2312" w:cs="Times New Roman" w:hAnsiTheme="minorEastAsia"/>
                <w:kern w:val="0"/>
                <w:szCs w:val="21"/>
                <w:highlight w:val="none"/>
                <w:lang w:eastAsia="zh-CN"/>
              </w:rPr>
              <w:t>）</w:t>
            </w:r>
            <w:r>
              <w:rPr>
                <w:rFonts w:hint="eastAsia" w:ascii="仿宋_GB2312" w:eastAsia="仿宋_GB2312" w:cs="Times New Roman" w:hAnsiTheme="minorEastAsia"/>
                <w:kern w:val="0"/>
                <w:szCs w:val="21"/>
                <w:highlight w:val="none"/>
              </w:rPr>
              <w:t>2023辽宁农业职业技术学院收费项目及收费标准一览表</w:t>
            </w:r>
          </w:p>
        </w:tc>
        <w:tc>
          <w:tcPr>
            <w:tcW w:w="7371" w:type="dxa"/>
            <w:vAlign w:val="center"/>
          </w:tcPr>
          <w:p w14:paraId="61D3A096">
            <w:pPr>
              <w:rPr>
                <w:rFonts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http://www.lnnzy.ln.cn/information/detail/366-13.html</w:t>
            </w:r>
          </w:p>
        </w:tc>
      </w:tr>
      <w:tr w14:paraId="2FC5206E">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2" w:space="0"/>
            <w:insideV w:val="single" w:color="000000" w:themeColor="text1" w:sz="2" w:space="0"/>
          </w:tblBorders>
          <w:tblCellMar>
            <w:top w:w="0" w:type="dxa"/>
            <w:left w:w="108" w:type="dxa"/>
            <w:bottom w:w="0" w:type="dxa"/>
            <w:right w:w="108" w:type="dxa"/>
          </w:tblCellMar>
        </w:tblPrEx>
        <w:trPr>
          <w:jc w:val="center"/>
        </w:trPr>
        <w:tc>
          <w:tcPr>
            <w:tcW w:w="6771" w:type="dxa"/>
            <w:vAlign w:val="center"/>
          </w:tcPr>
          <w:p w14:paraId="4BF55C83">
            <w:pPr>
              <w:spacing w:line="360" w:lineRule="exact"/>
              <w:rPr>
                <w:rFonts w:hint="eastAsia" w:ascii="仿宋_GB2312" w:eastAsia="仿宋_GB2312" w:cs="Times New Roman" w:hAnsiTheme="minorEastAsia"/>
                <w:kern w:val="0"/>
                <w:szCs w:val="21"/>
                <w:highlight w:val="none"/>
              </w:rPr>
            </w:pPr>
            <w:r>
              <w:rPr>
                <w:rFonts w:hint="eastAsia" w:ascii="仿宋_GB2312" w:eastAsia="仿宋_GB2312" w:cs="Times New Roman" w:hAnsiTheme="minorEastAsia"/>
                <w:kern w:val="0"/>
                <w:szCs w:val="21"/>
                <w:highlight w:val="none"/>
                <w:lang w:eastAsia="zh-CN"/>
              </w:rPr>
              <w:t>（</w:t>
            </w:r>
            <w:r>
              <w:rPr>
                <w:rFonts w:hint="eastAsia" w:ascii="仿宋_GB2312" w:eastAsia="仿宋_GB2312" w:cs="Times New Roman" w:hAnsiTheme="minorEastAsia"/>
                <w:kern w:val="0"/>
                <w:szCs w:val="21"/>
                <w:highlight w:val="none"/>
                <w:lang w:val="en-US" w:eastAsia="zh-CN"/>
              </w:rPr>
              <w:t>16</w:t>
            </w:r>
            <w:r>
              <w:rPr>
                <w:rFonts w:hint="eastAsia" w:ascii="仿宋_GB2312" w:eastAsia="仿宋_GB2312" w:cs="Times New Roman" w:hAnsiTheme="minorEastAsia"/>
                <w:kern w:val="0"/>
                <w:szCs w:val="21"/>
                <w:highlight w:val="none"/>
                <w:lang w:eastAsia="zh-CN"/>
              </w:rPr>
              <w:t>）辽宁农业职业技术学院2023年度单位预算公开</w:t>
            </w:r>
          </w:p>
        </w:tc>
        <w:tc>
          <w:tcPr>
            <w:tcW w:w="7371" w:type="dxa"/>
            <w:vAlign w:val="center"/>
          </w:tcPr>
          <w:p w14:paraId="76EC4C06">
            <w:pPr>
              <w:rPr>
                <w:rFonts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http://www.lnnzy.ln.cn/information/detail/365-14.html</w:t>
            </w:r>
          </w:p>
        </w:tc>
      </w:tr>
      <w:tr w14:paraId="59352B41">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2" w:space="0"/>
            <w:insideV w:val="single" w:color="000000" w:themeColor="text1" w:sz="2" w:space="0"/>
          </w:tblBorders>
          <w:tblCellMar>
            <w:top w:w="0" w:type="dxa"/>
            <w:left w:w="108" w:type="dxa"/>
            <w:bottom w:w="0" w:type="dxa"/>
            <w:right w:w="108" w:type="dxa"/>
          </w:tblCellMar>
        </w:tblPrEx>
        <w:trPr>
          <w:jc w:val="center"/>
        </w:trPr>
        <w:tc>
          <w:tcPr>
            <w:tcW w:w="6771" w:type="dxa"/>
            <w:vAlign w:val="center"/>
          </w:tcPr>
          <w:p w14:paraId="4080B1C3">
            <w:pPr>
              <w:spacing w:line="360" w:lineRule="exact"/>
              <w:rPr>
                <w:rFonts w:hint="eastAsia" w:ascii="仿宋_GB2312" w:eastAsia="仿宋_GB2312" w:cs="Times New Roman" w:hAnsiTheme="minorEastAsia"/>
                <w:kern w:val="0"/>
                <w:szCs w:val="21"/>
                <w:highlight w:val="none"/>
              </w:rPr>
            </w:pPr>
            <w:r>
              <w:rPr>
                <w:rFonts w:hint="eastAsia" w:ascii="仿宋_GB2312" w:eastAsia="仿宋_GB2312" w:cs="Times New Roman" w:hAnsiTheme="minorEastAsia"/>
                <w:kern w:val="0"/>
                <w:szCs w:val="21"/>
                <w:highlight w:val="none"/>
              </w:rPr>
              <w:t>（</w:t>
            </w:r>
            <w:r>
              <w:rPr>
                <w:rFonts w:hint="eastAsia" w:ascii="仿宋_GB2312" w:hAnsi="Times New Roman" w:eastAsia="仿宋_GB2312" w:cs="Times New Roman"/>
                <w:kern w:val="0"/>
                <w:szCs w:val="21"/>
                <w:highlight w:val="none"/>
              </w:rPr>
              <w:t>17</w:t>
            </w:r>
            <w:r>
              <w:rPr>
                <w:rFonts w:hint="eastAsia" w:ascii="仿宋_GB2312" w:eastAsia="仿宋_GB2312" w:cs="Times New Roman" w:hAnsiTheme="minorEastAsia"/>
                <w:kern w:val="0"/>
                <w:szCs w:val="21"/>
                <w:highlight w:val="none"/>
              </w:rPr>
              <w:t>）</w:t>
            </w:r>
            <w:r>
              <w:rPr>
                <w:rFonts w:hint="eastAsia" w:ascii="仿宋_GB2312" w:eastAsia="仿宋_GB2312" w:cs="Times New Roman" w:hAnsiTheme="minorEastAsia"/>
                <w:kern w:val="0"/>
                <w:szCs w:val="21"/>
                <w:highlight w:val="none"/>
                <w:lang w:eastAsia="zh-CN"/>
              </w:rPr>
              <w:t>辽宁农业职业技术学院2022年度决算</w:t>
            </w:r>
          </w:p>
        </w:tc>
        <w:tc>
          <w:tcPr>
            <w:tcW w:w="7371" w:type="dxa"/>
            <w:vAlign w:val="center"/>
          </w:tcPr>
          <w:p w14:paraId="2CC9BA23">
            <w:pPr>
              <w:rPr>
                <w:rFonts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http://www.lnnzy.ln.cn/information/detail/367-14.html</w:t>
            </w:r>
          </w:p>
        </w:tc>
      </w:tr>
      <w:tr w14:paraId="4567D965">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2" w:space="0"/>
            <w:insideV w:val="single" w:color="000000" w:themeColor="text1" w:sz="2" w:space="0"/>
          </w:tblBorders>
          <w:tblCellMar>
            <w:top w:w="0" w:type="dxa"/>
            <w:left w:w="108" w:type="dxa"/>
            <w:bottom w:w="0" w:type="dxa"/>
            <w:right w:w="108" w:type="dxa"/>
          </w:tblCellMar>
        </w:tblPrEx>
        <w:trPr>
          <w:jc w:val="center"/>
        </w:trPr>
        <w:tc>
          <w:tcPr>
            <w:tcW w:w="6771" w:type="dxa"/>
            <w:vAlign w:val="center"/>
          </w:tcPr>
          <w:p w14:paraId="63B00486">
            <w:pPr>
              <w:spacing w:line="340" w:lineRule="exact"/>
              <w:rPr>
                <w:rFonts w:ascii="仿宋_GB2312" w:hAnsi="Times New Roman" w:eastAsia="仿宋_GB2312" w:cs="Times New Roman"/>
                <w:szCs w:val="21"/>
                <w:highlight w:val="yellow"/>
              </w:rPr>
            </w:pPr>
            <w:r>
              <w:rPr>
                <w:rFonts w:hint="eastAsia" w:ascii="仿宋_GB2312" w:eastAsia="仿宋_GB2312" w:cs="Times New Roman" w:hAnsiTheme="minorEastAsia"/>
                <w:kern w:val="0"/>
                <w:szCs w:val="21"/>
                <w:highlight w:val="none"/>
              </w:rPr>
              <w:t>（</w:t>
            </w:r>
            <w:r>
              <w:rPr>
                <w:rFonts w:hint="eastAsia" w:ascii="仿宋_GB2312" w:hAnsi="Times New Roman" w:eastAsia="仿宋_GB2312" w:cs="Times New Roman"/>
                <w:kern w:val="0"/>
                <w:szCs w:val="21"/>
                <w:highlight w:val="none"/>
              </w:rPr>
              <w:t>1</w:t>
            </w:r>
            <w:r>
              <w:rPr>
                <w:rFonts w:hint="eastAsia" w:ascii="仿宋_GB2312" w:hAnsi="Times New Roman" w:eastAsia="仿宋_GB2312" w:cs="Times New Roman"/>
                <w:kern w:val="0"/>
                <w:szCs w:val="21"/>
                <w:highlight w:val="none"/>
                <w:lang w:val="en-US" w:eastAsia="zh-CN"/>
              </w:rPr>
              <w:t>8</w:t>
            </w:r>
            <w:r>
              <w:rPr>
                <w:rFonts w:hint="eastAsia" w:ascii="仿宋_GB2312" w:eastAsia="仿宋_GB2312" w:cs="Times New Roman" w:hAnsiTheme="minorEastAsia"/>
                <w:kern w:val="0"/>
                <w:szCs w:val="21"/>
                <w:highlight w:val="none"/>
              </w:rPr>
              <w:t>）校内中层干部任免、人员招聘信息</w:t>
            </w:r>
          </w:p>
        </w:tc>
        <w:tc>
          <w:tcPr>
            <w:tcW w:w="7371" w:type="dxa"/>
            <w:vAlign w:val="center"/>
          </w:tcPr>
          <w:p w14:paraId="2D3C78A9">
            <w:pPr>
              <w:rPr>
                <w:rFonts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http://portal.lnnzy.ln.cn//news/172982549261632243.html</w:t>
            </w:r>
          </w:p>
        </w:tc>
      </w:tr>
      <w:tr w14:paraId="40CACA8C">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2" w:space="0"/>
            <w:insideV w:val="single" w:color="000000" w:themeColor="text1" w:sz="2" w:space="0"/>
          </w:tblBorders>
          <w:tblCellMar>
            <w:top w:w="0" w:type="dxa"/>
            <w:left w:w="108" w:type="dxa"/>
            <w:bottom w:w="0" w:type="dxa"/>
            <w:right w:w="108" w:type="dxa"/>
          </w:tblCellMar>
        </w:tblPrEx>
        <w:trPr>
          <w:jc w:val="center"/>
        </w:trPr>
        <w:tc>
          <w:tcPr>
            <w:tcW w:w="6771" w:type="dxa"/>
            <w:vAlign w:val="center"/>
          </w:tcPr>
          <w:p w14:paraId="73D99D32">
            <w:pPr>
              <w:widowControl/>
              <w:spacing w:line="340" w:lineRule="exact"/>
              <w:rPr>
                <w:rFonts w:ascii="仿宋_GB2312" w:hAnsi="Times New Roman" w:eastAsia="仿宋_GB2312" w:cs="Times New Roman"/>
                <w:kern w:val="0"/>
                <w:szCs w:val="21"/>
              </w:rPr>
            </w:pPr>
            <w:r>
              <w:rPr>
                <w:rFonts w:hint="eastAsia" w:ascii="仿宋_GB2312" w:eastAsia="仿宋_GB2312" w:cs="Times New Roman" w:hAnsiTheme="minorEastAsia"/>
                <w:kern w:val="0"/>
                <w:szCs w:val="21"/>
              </w:rPr>
              <w:t>（</w:t>
            </w:r>
            <w:r>
              <w:rPr>
                <w:rFonts w:hint="eastAsia" w:ascii="仿宋_GB2312" w:hAnsi="Times New Roman" w:eastAsia="仿宋_GB2312" w:cs="Times New Roman"/>
                <w:kern w:val="0"/>
                <w:szCs w:val="21"/>
                <w:lang w:val="en-US" w:eastAsia="zh-CN"/>
              </w:rPr>
              <w:t>19</w:t>
            </w:r>
            <w:r>
              <w:rPr>
                <w:rFonts w:hint="eastAsia" w:ascii="仿宋_GB2312" w:eastAsia="仿宋_GB2312" w:cs="Times New Roman" w:hAnsiTheme="minorEastAsia"/>
                <w:kern w:val="0"/>
                <w:szCs w:val="21"/>
              </w:rPr>
              <w:t>）专科生占全日制在校生总数的比例、教师数量及结构</w:t>
            </w:r>
          </w:p>
        </w:tc>
        <w:tc>
          <w:tcPr>
            <w:tcW w:w="7371" w:type="dxa"/>
            <w:vAlign w:val="center"/>
          </w:tcPr>
          <w:p w14:paraId="419EDB5B">
            <w:pP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http://www.lnnzy.ln.cn/information/16.html</w:t>
            </w:r>
          </w:p>
        </w:tc>
      </w:tr>
      <w:tr w14:paraId="04BC9483">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2" w:space="0"/>
            <w:insideV w:val="single" w:color="000000" w:themeColor="text1" w:sz="2" w:space="0"/>
          </w:tblBorders>
          <w:tblCellMar>
            <w:top w:w="0" w:type="dxa"/>
            <w:left w:w="108" w:type="dxa"/>
            <w:bottom w:w="0" w:type="dxa"/>
            <w:right w:w="108" w:type="dxa"/>
          </w:tblCellMar>
        </w:tblPrEx>
        <w:trPr>
          <w:jc w:val="center"/>
        </w:trPr>
        <w:tc>
          <w:tcPr>
            <w:tcW w:w="6771" w:type="dxa"/>
            <w:vAlign w:val="center"/>
          </w:tcPr>
          <w:p w14:paraId="05C982B7">
            <w:pPr>
              <w:widowControl/>
              <w:spacing w:line="340" w:lineRule="exact"/>
              <w:rPr>
                <w:rFonts w:ascii="仿宋_GB2312" w:hAnsi="Times New Roman" w:eastAsia="仿宋_GB2312" w:cs="Times New Roman"/>
                <w:kern w:val="0"/>
                <w:szCs w:val="21"/>
              </w:rPr>
            </w:pPr>
            <w:r>
              <w:rPr>
                <w:rFonts w:hint="eastAsia" w:ascii="仿宋_GB2312" w:eastAsia="仿宋_GB2312" w:cs="Times New Roman" w:hAnsiTheme="minorEastAsia"/>
                <w:kern w:val="0"/>
                <w:szCs w:val="21"/>
              </w:rPr>
              <w:t>（</w:t>
            </w:r>
            <w:r>
              <w:rPr>
                <w:rFonts w:hint="eastAsia" w:ascii="仿宋_GB2312" w:hAnsi="Times New Roman" w:eastAsia="仿宋_GB2312" w:cs="Times New Roman"/>
                <w:kern w:val="0"/>
                <w:szCs w:val="21"/>
                <w:lang w:val="en-US" w:eastAsia="zh-CN"/>
              </w:rPr>
              <w:t>20</w:t>
            </w:r>
            <w:r>
              <w:rPr>
                <w:rFonts w:hint="eastAsia" w:ascii="仿宋_GB2312" w:eastAsia="仿宋_GB2312" w:cs="Times New Roman" w:hAnsiTheme="minorEastAsia"/>
                <w:kern w:val="0"/>
                <w:szCs w:val="21"/>
              </w:rPr>
              <w:t>）专业设置、当年新增专业、停招专业名单</w:t>
            </w:r>
          </w:p>
        </w:tc>
        <w:tc>
          <w:tcPr>
            <w:tcW w:w="7371" w:type="dxa"/>
            <w:vAlign w:val="center"/>
          </w:tcPr>
          <w:p w14:paraId="5FF2DD0A">
            <w:pP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http://www.lnnzy.ln.cn/information/16.html</w:t>
            </w:r>
          </w:p>
        </w:tc>
      </w:tr>
      <w:tr w14:paraId="06190E2D">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2" w:space="0"/>
            <w:insideV w:val="single" w:color="000000" w:themeColor="text1" w:sz="2" w:space="0"/>
          </w:tblBorders>
          <w:tblCellMar>
            <w:top w:w="0" w:type="dxa"/>
            <w:left w:w="108" w:type="dxa"/>
            <w:bottom w:w="0" w:type="dxa"/>
            <w:right w:w="108" w:type="dxa"/>
          </w:tblCellMar>
        </w:tblPrEx>
        <w:trPr>
          <w:jc w:val="center"/>
        </w:trPr>
        <w:tc>
          <w:tcPr>
            <w:tcW w:w="6771" w:type="dxa"/>
            <w:vAlign w:val="center"/>
          </w:tcPr>
          <w:p w14:paraId="650E1F29">
            <w:pPr>
              <w:widowControl/>
              <w:spacing w:line="340" w:lineRule="exact"/>
              <w:rPr>
                <w:rFonts w:ascii="仿宋_GB2312" w:hAnsi="Times New Roman" w:eastAsia="仿宋_GB2312" w:cs="Times New Roman"/>
                <w:kern w:val="0"/>
                <w:szCs w:val="21"/>
              </w:rPr>
            </w:pPr>
            <w:r>
              <w:rPr>
                <w:rFonts w:hint="eastAsia" w:ascii="仿宋_GB2312" w:eastAsia="仿宋_GB2312" w:cs="Times New Roman" w:hAnsiTheme="minorEastAsia"/>
                <w:kern w:val="0"/>
                <w:szCs w:val="21"/>
              </w:rPr>
              <w:t>（</w:t>
            </w:r>
            <w:r>
              <w:rPr>
                <w:rFonts w:hint="eastAsia" w:ascii="仿宋_GB2312" w:hAnsi="Times New Roman" w:eastAsia="仿宋_GB2312" w:cs="Times New Roman"/>
                <w:kern w:val="0"/>
                <w:szCs w:val="21"/>
                <w:lang w:val="en-US" w:eastAsia="zh-CN"/>
              </w:rPr>
              <w:t>21</w:t>
            </w:r>
            <w:r>
              <w:rPr>
                <w:rFonts w:hint="eastAsia" w:ascii="仿宋_GB2312" w:eastAsia="仿宋_GB2312" w:cs="Times New Roman" w:hAnsiTheme="minorEastAsia"/>
                <w:kern w:val="0"/>
                <w:szCs w:val="21"/>
              </w:rPr>
              <w:t>）全校开设课程总门数、实践教学学分占总学分比例、选修课学分占总学分比例</w:t>
            </w:r>
          </w:p>
        </w:tc>
        <w:tc>
          <w:tcPr>
            <w:tcW w:w="7371" w:type="dxa"/>
            <w:vAlign w:val="center"/>
          </w:tcPr>
          <w:p w14:paraId="0577D398">
            <w:pP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http://www.lnnzy.ln.cn/information/16.html</w:t>
            </w:r>
          </w:p>
        </w:tc>
      </w:tr>
      <w:tr w14:paraId="60A96219">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2" w:space="0"/>
            <w:insideV w:val="single" w:color="000000" w:themeColor="text1" w:sz="2" w:space="0"/>
          </w:tblBorders>
          <w:tblCellMar>
            <w:top w:w="0" w:type="dxa"/>
            <w:left w:w="108" w:type="dxa"/>
            <w:bottom w:w="0" w:type="dxa"/>
            <w:right w:w="108" w:type="dxa"/>
          </w:tblCellMar>
        </w:tblPrEx>
        <w:trPr>
          <w:jc w:val="center"/>
        </w:trPr>
        <w:tc>
          <w:tcPr>
            <w:tcW w:w="6771" w:type="dxa"/>
            <w:vAlign w:val="center"/>
          </w:tcPr>
          <w:p w14:paraId="381014C0">
            <w:pPr>
              <w:widowControl/>
              <w:spacing w:line="340" w:lineRule="exact"/>
              <w:rPr>
                <w:rFonts w:ascii="仿宋_GB2312" w:hAnsi="Times New Roman" w:eastAsia="仿宋_GB2312" w:cs="Times New Roman"/>
                <w:kern w:val="0"/>
                <w:szCs w:val="21"/>
              </w:rPr>
            </w:pPr>
            <w:r>
              <w:rPr>
                <w:rFonts w:hint="eastAsia" w:ascii="仿宋_GB2312" w:eastAsia="仿宋_GB2312" w:cs="Times New Roman" w:hAnsiTheme="minorEastAsia"/>
                <w:kern w:val="0"/>
                <w:szCs w:val="21"/>
              </w:rPr>
              <w:t>（</w:t>
            </w:r>
            <w:r>
              <w:rPr>
                <w:rFonts w:hint="eastAsia" w:ascii="仿宋_GB2312" w:hAnsi="Times New Roman" w:eastAsia="仿宋_GB2312" w:cs="Times New Roman"/>
                <w:kern w:val="0"/>
                <w:szCs w:val="21"/>
                <w:lang w:val="en-US" w:eastAsia="zh-CN"/>
              </w:rPr>
              <w:t>22</w:t>
            </w:r>
            <w:r>
              <w:rPr>
                <w:rFonts w:hint="eastAsia" w:ascii="仿宋_GB2312" w:eastAsia="仿宋_GB2312" w:cs="Times New Roman" w:hAnsiTheme="minorEastAsia"/>
                <w:kern w:val="0"/>
                <w:szCs w:val="21"/>
              </w:rPr>
              <w:t>）讲专科课程的教授占教授总数的比例、教授本科课程占课程总门次数的比例</w:t>
            </w:r>
          </w:p>
        </w:tc>
        <w:tc>
          <w:tcPr>
            <w:tcW w:w="7371" w:type="dxa"/>
            <w:vAlign w:val="center"/>
          </w:tcPr>
          <w:p w14:paraId="301B7668">
            <w:pP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http://www.lnnzy.ln.cn/information/16.html</w:t>
            </w:r>
          </w:p>
        </w:tc>
      </w:tr>
      <w:tr w14:paraId="7614C7EA">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2" w:space="0"/>
            <w:insideV w:val="single" w:color="000000" w:themeColor="text1" w:sz="2" w:space="0"/>
          </w:tblBorders>
          <w:tblCellMar>
            <w:top w:w="0" w:type="dxa"/>
            <w:left w:w="108" w:type="dxa"/>
            <w:bottom w:w="0" w:type="dxa"/>
            <w:right w:w="108" w:type="dxa"/>
          </w:tblCellMar>
        </w:tblPrEx>
        <w:trPr>
          <w:jc w:val="center"/>
        </w:trPr>
        <w:tc>
          <w:tcPr>
            <w:tcW w:w="6771" w:type="dxa"/>
            <w:vAlign w:val="center"/>
          </w:tcPr>
          <w:p w14:paraId="7D3E540D">
            <w:pPr>
              <w:widowControl/>
              <w:spacing w:line="340" w:lineRule="exact"/>
              <w:rPr>
                <w:rFonts w:ascii="仿宋_GB2312" w:hAnsi="Times New Roman" w:eastAsia="仿宋_GB2312" w:cs="Times New Roman"/>
                <w:kern w:val="0"/>
                <w:szCs w:val="21"/>
              </w:rPr>
            </w:pPr>
            <w:r>
              <w:rPr>
                <w:rFonts w:hint="eastAsia" w:ascii="仿宋_GB2312" w:eastAsia="仿宋_GB2312" w:cs="Times New Roman" w:hAnsiTheme="minorEastAsia"/>
                <w:kern w:val="0"/>
                <w:szCs w:val="21"/>
              </w:rPr>
              <w:t>（</w:t>
            </w:r>
            <w:r>
              <w:rPr>
                <w:rFonts w:hint="eastAsia" w:ascii="仿宋_GB2312" w:hAnsi="Times New Roman" w:eastAsia="仿宋_GB2312" w:cs="Times New Roman"/>
                <w:kern w:val="0"/>
                <w:szCs w:val="21"/>
              </w:rPr>
              <w:t>2</w:t>
            </w:r>
            <w:r>
              <w:rPr>
                <w:rFonts w:hint="eastAsia" w:ascii="仿宋_GB2312" w:hAnsi="Times New Roman" w:eastAsia="仿宋_GB2312" w:cs="Times New Roman"/>
                <w:kern w:val="0"/>
                <w:szCs w:val="21"/>
                <w:lang w:val="en-US" w:eastAsia="zh-CN"/>
              </w:rPr>
              <w:t>3</w:t>
            </w:r>
            <w:r>
              <w:rPr>
                <w:rFonts w:hint="eastAsia" w:ascii="仿宋_GB2312" w:eastAsia="仿宋_GB2312" w:cs="Times New Roman" w:hAnsiTheme="minorEastAsia"/>
                <w:kern w:val="0"/>
                <w:szCs w:val="21"/>
              </w:rPr>
              <w:t>）毕业生的规模、结构、就业率、就业流向</w:t>
            </w:r>
          </w:p>
        </w:tc>
        <w:tc>
          <w:tcPr>
            <w:tcW w:w="7371" w:type="dxa"/>
            <w:vAlign w:val="center"/>
          </w:tcPr>
          <w:p w14:paraId="684B4591">
            <w:pP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http://www.lnnzy.ln.cn/information/detail/229-19.html</w:t>
            </w:r>
          </w:p>
        </w:tc>
      </w:tr>
      <w:tr w14:paraId="4161DA57">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2" w:space="0"/>
            <w:insideV w:val="single" w:color="000000" w:themeColor="text1" w:sz="2" w:space="0"/>
          </w:tblBorders>
          <w:tblCellMar>
            <w:top w:w="0" w:type="dxa"/>
            <w:left w:w="108" w:type="dxa"/>
            <w:bottom w:w="0" w:type="dxa"/>
            <w:right w:w="108" w:type="dxa"/>
          </w:tblCellMar>
        </w:tblPrEx>
        <w:trPr>
          <w:jc w:val="center"/>
        </w:trPr>
        <w:tc>
          <w:tcPr>
            <w:tcW w:w="6771" w:type="dxa"/>
            <w:vAlign w:val="center"/>
          </w:tcPr>
          <w:p w14:paraId="55A751F5">
            <w:pPr>
              <w:widowControl/>
              <w:spacing w:line="340" w:lineRule="exact"/>
              <w:rPr>
                <w:rFonts w:ascii="仿宋_GB2312" w:hAnsi="Times New Roman" w:eastAsia="仿宋_GB2312" w:cs="Times New Roman"/>
                <w:kern w:val="0"/>
                <w:szCs w:val="21"/>
              </w:rPr>
            </w:pPr>
            <w:r>
              <w:rPr>
                <w:rFonts w:hint="eastAsia" w:ascii="仿宋_GB2312" w:eastAsia="仿宋_GB2312" w:cs="Times New Roman" w:hAnsiTheme="minorEastAsia"/>
                <w:kern w:val="0"/>
                <w:szCs w:val="21"/>
              </w:rPr>
              <w:t>（</w:t>
            </w:r>
            <w:r>
              <w:rPr>
                <w:rFonts w:hint="eastAsia" w:ascii="仿宋_GB2312" w:hAnsi="Times New Roman" w:eastAsia="仿宋_GB2312" w:cs="Times New Roman"/>
                <w:kern w:val="0"/>
                <w:szCs w:val="21"/>
              </w:rPr>
              <w:t>2</w:t>
            </w:r>
            <w:r>
              <w:rPr>
                <w:rFonts w:hint="eastAsia" w:ascii="仿宋_GB2312" w:hAnsi="Times New Roman" w:eastAsia="仿宋_GB2312" w:cs="Times New Roman"/>
                <w:kern w:val="0"/>
                <w:szCs w:val="21"/>
                <w:lang w:val="en-US" w:eastAsia="zh-CN"/>
              </w:rPr>
              <w:t>4</w:t>
            </w:r>
            <w:r>
              <w:rPr>
                <w:rFonts w:hint="eastAsia" w:ascii="仿宋_GB2312" w:eastAsia="仿宋_GB2312" w:cs="Times New Roman" w:hAnsiTheme="minorEastAsia"/>
                <w:kern w:val="0"/>
                <w:szCs w:val="21"/>
              </w:rPr>
              <w:t>）毕业生就业质量年度报告</w:t>
            </w:r>
          </w:p>
        </w:tc>
        <w:tc>
          <w:tcPr>
            <w:tcW w:w="7371" w:type="dxa"/>
            <w:vAlign w:val="center"/>
          </w:tcPr>
          <w:p w14:paraId="596549D6">
            <w:pP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http://www.lnnzy.ln.cn/information/detail/229-19.html</w:t>
            </w:r>
          </w:p>
        </w:tc>
      </w:tr>
      <w:tr w14:paraId="3D9810FD">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2" w:space="0"/>
            <w:insideV w:val="single" w:color="000000" w:themeColor="text1" w:sz="2" w:space="0"/>
          </w:tblBorders>
          <w:tblCellMar>
            <w:top w:w="0" w:type="dxa"/>
            <w:left w:w="108" w:type="dxa"/>
            <w:bottom w:w="0" w:type="dxa"/>
            <w:right w:w="108" w:type="dxa"/>
          </w:tblCellMar>
        </w:tblPrEx>
        <w:trPr>
          <w:jc w:val="center"/>
        </w:trPr>
        <w:tc>
          <w:tcPr>
            <w:tcW w:w="6771" w:type="dxa"/>
            <w:vAlign w:val="center"/>
          </w:tcPr>
          <w:p w14:paraId="76CC5778">
            <w:pPr>
              <w:widowControl/>
              <w:spacing w:line="340" w:lineRule="exact"/>
              <w:rPr>
                <w:rFonts w:ascii="仿宋_GB2312" w:hAnsi="Times New Roman" w:eastAsia="仿宋_GB2312" w:cs="Times New Roman"/>
                <w:kern w:val="0"/>
                <w:szCs w:val="21"/>
              </w:rPr>
            </w:pPr>
            <w:r>
              <w:rPr>
                <w:rFonts w:hint="eastAsia" w:ascii="仿宋_GB2312" w:eastAsia="仿宋_GB2312" w:cs="Times New Roman" w:hAnsiTheme="minorEastAsia"/>
                <w:kern w:val="0"/>
                <w:szCs w:val="21"/>
              </w:rPr>
              <w:t>（</w:t>
            </w:r>
            <w:r>
              <w:rPr>
                <w:rFonts w:hint="eastAsia" w:ascii="仿宋_GB2312" w:hAnsi="Times New Roman" w:eastAsia="仿宋_GB2312" w:cs="Times New Roman"/>
                <w:kern w:val="0"/>
                <w:szCs w:val="21"/>
              </w:rPr>
              <w:t>2</w:t>
            </w:r>
            <w:r>
              <w:rPr>
                <w:rFonts w:hint="eastAsia" w:ascii="仿宋_GB2312" w:hAnsi="Times New Roman" w:eastAsia="仿宋_GB2312" w:cs="Times New Roman"/>
                <w:kern w:val="0"/>
                <w:szCs w:val="21"/>
                <w:lang w:val="en-US" w:eastAsia="zh-CN"/>
              </w:rPr>
              <w:t>5</w:t>
            </w:r>
            <w:r>
              <w:rPr>
                <w:rFonts w:hint="eastAsia" w:ascii="仿宋_GB2312" w:eastAsia="仿宋_GB2312" w:cs="Times New Roman" w:hAnsiTheme="minorEastAsia"/>
                <w:kern w:val="0"/>
                <w:szCs w:val="21"/>
              </w:rPr>
              <w:t>）教学质量报告</w:t>
            </w:r>
          </w:p>
        </w:tc>
        <w:tc>
          <w:tcPr>
            <w:tcW w:w="7371" w:type="dxa"/>
            <w:vAlign w:val="center"/>
          </w:tcPr>
          <w:p w14:paraId="6A976F3B">
            <w:pP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http://www.tech.net.cn</w:t>
            </w:r>
          </w:p>
        </w:tc>
      </w:tr>
      <w:tr w14:paraId="29A91DAA">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351" w:hRule="atLeast"/>
          <w:jc w:val="center"/>
        </w:trPr>
        <w:tc>
          <w:tcPr>
            <w:tcW w:w="6771" w:type="dxa"/>
            <w:vAlign w:val="center"/>
          </w:tcPr>
          <w:p w14:paraId="0A731A10">
            <w:pPr>
              <w:widowControl/>
              <w:spacing w:line="340" w:lineRule="exact"/>
              <w:rPr>
                <w:rFonts w:hint="default" w:ascii="仿宋_GB2312" w:hAnsi="Times New Roman" w:eastAsia="仿宋_GB2312" w:cs="Times New Roman"/>
                <w:kern w:val="0"/>
                <w:szCs w:val="21"/>
                <w:highlight w:val="none"/>
                <w:lang w:val="en-US" w:eastAsia="zh-CN"/>
              </w:rPr>
            </w:pPr>
            <w:r>
              <w:rPr>
                <w:rFonts w:hint="eastAsia" w:ascii="仿宋_GB2312" w:eastAsia="仿宋_GB2312" w:cs="Times New Roman" w:hAnsiTheme="minorEastAsia"/>
                <w:kern w:val="0"/>
                <w:szCs w:val="21"/>
                <w:highlight w:val="none"/>
              </w:rPr>
              <w:t>（</w:t>
            </w:r>
            <w:r>
              <w:rPr>
                <w:rFonts w:hint="eastAsia" w:ascii="仿宋_GB2312" w:hAnsi="Times New Roman" w:eastAsia="仿宋_GB2312" w:cs="Times New Roman"/>
                <w:kern w:val="0"/>
                <w:szCs w:val="21"/>
                <w:highlight w:val="none"/>
              </w:rPr>
              <w:t>2</w:t>
            </w:r>
            <w:r>
              <w:rPr>
                <w:rFonts w:hint="eastAsia" w:ascii="仿宋_GB2312" w:hAnsi="Times New Roman" w:eastAsia="仿宋_GB2312" w:cs="Times New Roman"/>
                <w:kern w:val="0"/>
                <w:szCs w:val="21"/>
                <w:highlight w:val="none"/>
                <w:lang w:val="en-US" w:eastAsia="zh-CN"/>
              </w:rPr>
              <w:t>6</w:t>
            </w:r>
            <w:r>
              <w:rPr>
                <w:rFonts w:hint="eastAsia" w:ascii="仿宋_GB2312" w:eastAsia="仿宋_GB2312" w:cs="Times New Roman" w:hAnsiTheme="minorEastAsia"/>
                <w:kern w:val="0"/>
                <w:szCs w:val="21"/>
                <w:highlight w:val="none"/>
              </w:rPr>
              <w:t>）</w:t>
            </w:r>
            <w:r>
              <w:rPr>
                <w:rFonts w:hint="eastAsia" w:ascii="仿宋_GB2312" w:eastAsia="仿宋_GB2312" w:cs="Times New Roman" w:hAnsiTheme="minorEastAsia"/>
                <w:kern w:val="0"/>
                <w:szCs w:val="21"/>
                <w:highlight w:val="none"/>
                <w:lang w:val="en-US" w:eastAsia="zh-CN"/>
              </w:rPr>
              <w:t>辽宁农业职业技术学院参加各类竞赛奖励办法</w:t>
            </w:r>
          </w:p>
        </w:tc>
        <w:tc>
          <w:tcPr>
            <w:tcW w:w="7371" w:type="dxa"/>
            <w:vAlign w:val="center"/>
          </w:tcPr>
          <w:p w14:paraId="6A3785FA">
            <w:pPr>
              <w:rPr>
                <w:rFonts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http://www.lnnzy.ln.cn/jwc/index/index/article/4634.html</w:t>
            </w:r>
          </w:p>
        </w:tc>
      </w:tr>
      <w:tr w14:paraId="5C4F3704">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2" w:space="0"/>
            <w:insideV w:val="single" w:color="000000" w:themeColor="text1" w:sz="2" w:space="0"/>
          </w:tblBorders>
          <w:tblCellMar>
            <w:top w:w="0" w:type="dxa"/>
            <w:left w:w="108" w:type="dxa"/>
            <w:bottom w:w="0" w:type="dxa"/>
            <w:right w:w="108" w:type="dxa"/>
          </w:tblCellMar>
        </w:tblPrEx>
        <w:trPr>
          <w:jc w:val="center"/>
        </w:trPr>
        <w:tc>
          <w:tcPr>
            <w:tcW w:w="6771" w:type="dxa"/>
            <w:vAlign w:val="center"/>
          </w:tcPr>
          <w:p w14:paraId="0E3CAC76">
            <w:pPr>
              <w:widowControl/>
              <w:spacing w:line="340" w:lineRule="exact"/>
              <w:ind w:left="630" w:hanging="630" w:hangingChars="300"/>
              <w:rPr>
                <w:rFonts w:ascii="仿宋_GB2312" w:hAnsi="Times New Roman" w:eastAsia="仿宋_GB2312" w:cs="Times New Roman"/>
                <w:kern w:val="0"/>
                <w:szCs w:val="21"/>
              </w:rPr>
            </w:pPr>
            <w:r>
              <w:rPr>
                <w:rFonts w:hint="eastAsia" w:ascii="仿宋_GB2312" w:eastAsia="仿宋_GB2312" w:cs="Times New Roman" w:hAnsiTheme="minorEastAsia"/>
                <w:kern w:val="0"/>
                <w:szCs w:val="21"/>
              </w:rPr>
              <w:t>（</w:t>
            </w:r>
            <w:r>
              <w:rPr>
                <w:rFonts w:hint="eastAsia" w:ascii="仿宋_GB2312" w:hAnsi="Times New Roman" w:eastAsia="仿宋_GB2312" w:cs="Times New Roman"/>
                <w:kern w:val="0"/>
                <w:szCs w:val="21"/>
              </w:rPr>
              <w:t>2</w:t>
            </w:r>
            <w:r>
              <w:rPr>
                <w:rFonts w:hint="eastAsia" w:ascii="仿宋_GB2312" w:hAnsi="Times New Roman" w:eastAsia="仿宋_GB2312" w:cs="Times New Roman"/>
                <w:kern w:val="0"/>
                <w:szCs w:val="21"/>
                <w:lang w:val="en-US" w:eastAsia="zh-CN"/>
              </w:rPr>
              <w:t>7</w:t>
            </w:r>
            <w:r>
              <w:rPr>
                <w:rFonts w:hint="eastAsia" w:ascii="仿宋_GB2312" w:eastAsia="仿宋_GB2312" w:cs="Times New Roman" w:hAnsiTheme="minorEastAsia"/>
                <w:kern w:val="0"/>
                <w:szCs w:val="21"/>
              </w:rPr>
              <w:t>）学生奖学金、助学金、学费减免、助学贷款、勤工俭学的申请与管理规定</w:t>
            </w:r>
          </w:p>
        </w:tc>
        <w:tc>
          <w:tcPr>
            <w:tcW w:w="7371" w:type="dxa"/>
            <w:vAlign w:val="center"/>
          </w:tcPr>
          <w:p w14:paraId="37A0941A">
            <w:pP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http://www.lnnzy.ln.cn/information/17.html</w:t>
            </w:r>
            <w:r>
              <w:rPr>
                <w:rFonts w:hint="eastAsia" w:ascii="Times New Roman" w:hAnsi="Times New Roman" w:eastAsia="仿宋_GB2312" w:cs="Times New Roman"/>
                <w:szCs w:val="21"/>
                <w:highlight w:val="none"/>
              </w:rPr>
              <w:t>、《学生管理手册》</w:t>
            </w:r>
          </w:p>
        </w:tc>
      </w:tr>
      <w:tr w14:paraId="48C794FA">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2" w:space="0"/>
            <w:insideV w:val="single" w:color="000000" w:themeColor="text1" w:sz="2" w:space="0"/>
          </w:tblBorders>
          <w:tblCellMar>
            <w:top w:w="0" w:type="dxa"/>
            <w:left w:w="108" w:type="dxa"/>
            <w:bottom w:w="0" w:type="dxa"/>
            <w:right w:w="108" w:type="dxa"/>
          </w:tblCellMar>
        </w:tblPrEx>
        <w:trPr>
          <w:jc w:val="center"/>
        </w:trPr>
        <w:tc>
          <w:tcPr>
            <w:tcW w:w="6771" w:type="dxa"/>
            <w:vAlign w:val="center"/>
          </w:tcPr>
          <w:p w14:paraId="26818162">
            <w:pPr>
              <w:widowControl/>
              <w:spacing w:line="340" w:lineRule="exact"/>
              <w:rPr>
                <w:rFonts w:ascii="仿宋_GB2312" w:hAnsi="Times New Roman" w:eastAsia="仿宋_GB2312" w:cs="Times New Roman"/>
                <w:kern w:val="0"/>
                <w:szCs w:val="21"/>
              </w:rPr>
            </w:pPr>
            <w:r>
              <w:rPr>
                <w:rFonts w:hint="eastAsia" w:ascii="仿宋_GB2312" w:eastAsia="仿宋_GB2312" w:cs="Times New Roman" w:hAnsiTheme="minorEastAsia"/>
                <w:kern w:val="0"/>
                <w:szCs w:val="21"/>
              </w:rPr>
              <w:t>（</w:t>
            </w:r>
            <w:r>
              <w:rPr>
                <w:rFonts w:hint="eastAsia" w:ascii="仿宋_GB2312" w:hAnsi="Times New Roman" w:eastAsia="仿宋_GB2312" w:cs="Times New Roman"/>
                <w:kern w:val="0"/>
                <w:szCs w:val="21"/>
              </w:rPr>
              <w:t>2</w:t>
            </w:r>
            <w:r>
              <w:rPr>
                <w:rFonts w:hint="eastAsia" w:ascii="仿宋_GB2312" w:hAnsi="Times New Roman" w:eastAsia="仿宋_GB2312" w:cs="Times New Roman"/>
                <w:kern w:val="0"/>
                <w:szCs w:val="21"/>
                <w:lang w:val="en-US" w:eastAsia="zh-CN"/>
              </w:rPr>
              <w:t>8</w:t>
            </w:r>
            <w:r>
              <w:rPr>
                <w:rFonts w:hint="eastAsia" w:ascii="仿宋_GB2312" w:eastAsia="仿宋_GB2312" w:cs="Times New Roman" w:hAnsiTheme="minorEastAsia"/>
                <w:kern w:val="0"/>
                <w:szCs w:val="21"/>
              </w:rPr>
              <w:t>）学生奖励处罚办法</w:t>
            </w:r>
          </w:p>
        </w:tc>
        <w:tc>
          <w:tcPr>
            <w:tcW w:w="7371" w:type="dxa"/>
            <w:vAlign w:val="center"/>
          </w:tcPr>
          <w:p w14:paraId="3E78CA31">
            <w:pP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http://www.lnnzy.ln.cn/</w:t>
            </w:r>
            <w:r>
              <w:rPr>
                <w:rFonts w:hint="eastAsia" w:ascii="Times New Roman" w:hAnsi="Times New Roman" w:eastAsia="仿宋_GB2312" w:cs="Times New Roman"/>
                <w:szCs w:val="21"/>
                <w:highlight w:val="none"/>
                <w:lang w:val="en-US" w:eastAsia="zh-CN"/>
              </w:rPr>
              <w:t>xsc/index/index/index/article/10308.html</w:t>
            </w:r>
            <w:r>
              <w:rPr>
                <w:rFonts w:hint="eastAsia" w:ascii="Times New Roman" w:hAnsi="Times New Roman" w:eastAsia="仿宋_GB2312" w:cs="Times New Roman"/>
                <w:szCs w:val="21"/>
                <w:highlight w:val="none"/>
              </w:rPr>
              <w:t>、《学生管理手册》</w:t>
            </w:r>
          </w:p>
        </w:tc>
      </w:tr>
      <w:tr w14:paraId="02A4C51B">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2" w:space="0"/>
            <w:insideV w:val="single" w:color="000000" w:themeColor="text1" w:sz="2" w:space="0"/>
          </w:tblBorders>
          <w:tblCellMar>
            <w:top w:w="0" w:type="dxa"/>
            <w:left w:w="108" w:type="dxa"/>
            <w:bottom w:w="0" w:type="dxa"/>
            <w:right w:w="108" w:type="dxa"/>
          </w:tblCellMar>
        </w:tblPrEx>
        <w:trPr>
          <w:jc w:val="center"/>
        </w:trPr>
        <w:tc>
          <w:tcPr>
            <w:tcW w:w="6771" w:type="dxa"/>
            <w:vAlign w:val="center"/>
          </w:tcPr>
          <w:p w14:paraId="19A78720">
            <w:pPr>
              <w:widowControl/>
              <w:spacing w:line="340" w:lineRule="exact"/>
              <w:rPr>
                <w:rFonts w:hint="default" w:ascii="仿宋_GB2312" w:hAnsi="Times New Roman" w:eastAsia="仿宋_GB2312" w:cs="Times New Roman"/>
                <w:kern w:val="0"/>
                <w:szCs w:val="21"/>
                <w:highlight w:val="yellow"/>
                <w:lang w:val="en-US" w:eastAsia="zh-CN"/>
              </w:rPr>
            </w:pPr>
            <w:r>
              <w:rPr>
                <w:rFonts w:hint="eastAsia" w:ascii="仿宋_GB2312" w:eastAsia="仿宋_GB2312" w:cs="Times New Roman" w:hAnsiTheme="minorEastAsia"/>
                <w:kern w:val="0"/>
                <w:szCs w:val="21"/>
              </w:rPr>
              <w:t>（</w:t>
            </w:r>
            <w:r>
              <w:rPr>
                <w:rFonts w:hint="eastAsia" w:ascii="仿宋_GB2312" w:hAnsi="Times New Roman" w:eastAsia="仿宋_GB2312" w:cs="Times New Roman"/>
                <w:kern w:val="0"/>
                <w:szCs w:val="21"/>
                <w:lang w:val="en-US" w:eastAsia="zh-CN"/>
              </w:rPr>
              <w:t>29</w:t>
            </w:r>
            <w:r>
              <w:rPr>
                <w:rFonts w:hint="eastAsia" w:ascii="仿宋_GB2312" w:eastAsia="仿宋_GB2312" w:cs="Times New Roman" w:hAnsiTheme="minorEastAsia"/>
                <w:kern w:val="0"/>
                <w:szCs w:val="21"/>
              </w:rPr>
              <w:t>）学生</w:t>
            </w:r>
            <w:r>
              <w:rPr>
                <w:rFonts w:hint="eastAsia" w:ascii="仿宋_GB2312" w:eastAsia="仿宋_GB2312" w:cs="Times New Roman" w:hAnsiTheme="minorEastAsia"/>
                <w:kern w:val="0"/>
                <w:szCs w:val="21"/>
                <w:lang w:val="en-US" w:eastAsia="zh-CN"/>
              </w:rPr>
              <w:t>请假管理规定</w:t>
            </w:r>
          </w:p>
        </w:tc>
        <w:tc>
          <w:tcPr>
            <w:tcW w:w="7371" w:type="dxa"/>
            <w:vAlign w:val="center"/>
          </w:tcPr>
          <w:p w14:paraId="7D8252CA">
            <w:pP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http://www.lnnzy.ln.cn/</w:t>
            </w:r>
            <w:r>
              <w:rPr>
                <w:rFonts w:hint="eastAsia" w:ascii="Times New Roman" w:hAnsi="Times New Roman" w:eastAsia="仿宋_GB2312" w:cs="Times New Roman"/>
                <w:szCs w:val="21"/>
                <w:highlight w:val="none"/>
                <w:lang w:val="en-US" w:eastAsia="zh-CN"/>
              </w:rPr>
              <w:t>xsc/index/index/index/article/10306.html</w:t>
            </w:r>
            <w:r>
              <w:rPr>
                <w:rFonts w:hint="eastAsia" w:ascii="Times New Roman" w:hAnsi="Times New Roman" w:eastAsia="仿宋_GB2312" w:cs="Times New Roman"/>
                <w:szCs w:val="21"/>
                <w:highlight w:val="none"/>
              </w:rPr>
              <w:t>、《学生管理手册》</w:t>
            </w:r>
          </w:p>
        </w:tc>
      </w:tr>
      <w:tr w14:paraId="19C8F306">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2" w:space="0"/>
            <w:insideV w:val="single" w:color="000000" w:themeColor="text1" w:sz="2" w:space="0"/>
          </w:tblBorders>
          <w:tblCellMar>
            <w:top w:w="0" w:type="dxa"/>
            <w:left w:w="108" w:type="dxa"/>
            <w:bottom w:w="0" w:type="dxa"/>
            <w:right w:w="108" w:type="dxa"/>
          </w:tblCellMar>
        </w:tblPrEx>
        <w:trPr>
          <w:jc w:val="center"/>
        </w:trPr>
        <w:tc>
          <w:tcPr>
            <w:tcW w:w="6771" w:type="dxa"/>
            <w:vAlign w:val="center"/>
          </w:tcPr>
          <w:p w14:paraId="0698423A">
            <w:pPr>
              <w:widowControl/>
              <w:spacing w:line="320" w:lineRule="exact"/>
              <w:rPr>
                <w:rFonts w:ascii="仿宋_GB2312" w:hAnsi="Times New Roman" w:eastAsia="仿宋_GB2312" w:cs="Times New Roman"/>
                <w:kern w:val="0"/>
                <w:szCs w:val="21"/>
              </w:rPr>
            </w:pPr>
            <w:r>
              <w:rPr>
                <w:rFonts w:hint="eastAsia" w:ascii="仿宋_GB2312" w:eastAsia="仿宋_GB2312" w:cs="Times New Roman" w:hAnsiTheme="minorEastAsia"/>
                <w:kern w:val="0"/>
                <w:szCs w:val="21"/>
              </w:rPr>
              <w:t>（</w:t>
            </w:r>
            <w:r>
              <w:rPr>
                <w:rFonts w:hint="eastAsia" w:ascii="仿宋_GB2312" w:hAnsi="Times New Roman" w:eastAsia="仿宋_GB2312" w:cs="Times New Roman"/>
                <w:kern w:val="0"/>
                <w:szCs w:val="21"/>
                <w:lang w:val="en-US" w:eastAsia="zh-CN"/>
              </w:rPr>
              <w:t>30</w:t>
            </w:r>
            <w:r>
              <w:rPr>
                <w:rFonts w:hint="eastAsia" w:ascii="仿宋_GB2312" w:eastAsia="仿宋_GB2312" w:cs="Times New Roman" w:hAnsiTheme="minorEastAsia"/>
                <w:kern w:val="0"/>
                <w:szCs w:val="21"/>
              </w:rPr>
              <w:t>）学风建设机构</w:t>
            </w:r>
          </w:p>
        </w:tc>
        <w:tc>
          <w:tcPr>
            <w:tcW w:w="7371" w:type="dxa"/>
            <w:vAlign w:val="center"/>
          </w:tcPr>
          <w:p w14:paraId="380FADF6">
            <w:pP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http://www.lnnzy.ln.cn/information/18.html</w:t>
            </w:r>
          </w:p>
          <w:p w14:paraId="5C6AA2B0">
            <w:pP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《辽宁农业职业技术学院学生手册》</w:t>
            </w:r>
          </w:p>
        </w:tc>
      </w:tr>
      <w:tr w14:paraId="5536325D">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2" w:space="0"/>
            <w:insideV w:val="single" w:color="000000" w:themeColor="text1" w:sz="2" w:space="0"/>
          </w:tblBorders>
          <w:tblCellMar>
            <w:top w:w="0" w:type="dxa"/>
            <w:left w:w="108" w:type="dxa"/>
            <w:bottom w:w="0" w:type="dxa"/>
            <w:right w:w="108" w:type="dxa"/>
          </w:tblCellMar>
        </w:tblPrEx>
        <w:trPr>
          <w:jc w:val="center"/>
        </w:trPr>
        <w:tc>
          <w:tcPr>
            <w:tcW w:w="6771" w:type="dxa"/>
            <w:vAlign w:val="center"/>
          </w:tcPr>
          <w:p w14:paraId="5E7EEF4F">
            <w:pPr>
              <w:widowControl/>
              <w:spacing w:line="320" w:lineRule="exact"/>
              <w:rPr>
                <w:rFonts w:ascii="仿宋_GB2312" w:hAnsi="Times New Roman" w:eastAsia="仿宋_GB2312" w:cs="Times New Roman"/>
                <w:kern w:val="0"/>
                <w:szCs w:val="21"/>
              </w:rPr>
            </w:pPr>
            <w:r>
              <w:rPr>
                <w:rFonts w:hint="eastAsia" w:ascii="仿宋_GB2312" w:eastAsia="仿宋_GB2312" w:cs="Times New Roman" w:hAnsiTheme="minorEastAsia"/>
                <w:kern w:val="0"/>
                <w:szCs w:val="21"/>
              </w:rPr>
              <w:t>（</w:t>
            </w:r>
            <w:r>
              <w:rPr>
                <w:rFonts w:hint="eastAsia" w:ascii="仿宋_GB2312" w:hAnsi="Times New Roman" w:eastAsia="仿宋_GB2312" w:cs="Times New Roman"/>
                <w:kern w:val="0"/>
                <w:szCs w:val="21"/>
                <w:lang w:val="en-US" w:eastAsia="zh-CN"/>
              </w:rPr>
              <w:t>31</w:t>
            </w:r>
            <w:r>
              <w:rPr>
                <w:rFonts w:hint="eastAsia" w:ascii="仿宋_GB2312" w:eastAsia="仿宋_GB2312" w:cs="Times New Roman" w:hAnsiTheme="minorEastAsia"/>
                <w:kern w:val="0"/>
                <w:szCs w:val="21"/>
              </w:rPr>
              <w:t>）学术规范制度</w:t>
            </w:r>
          </w:p>
        </w:tc>
        <w:tc>
          <w:tcPr>
            <w:tcW w:w="7371" w:type="dxa"/>
            <w:vAlign w:val="center"/>
          </w:tcPr>
          <w:p w14:paraId="4627762F">
            <w:pP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http://www.lnnzy.ln.cn/information/18.html</w:t>
            </w:r>
          </w:p>
        </w:tc>
      </w:tr>
      <w:tr w14:paraId="4A6C567D">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2" w:space="0"/>
            <w:insideV w:val="single" w:color="000000" w:themeColor="text1" w:sz="2" w:space="0"/>
          </w:tblBorders>
          <w:tblCellMar>
            <w:top w:w="0" w:type="dxa"/>
            <w:left w:w="108" w:type="dxa"/>
            <w:bottom w:w="0" w:type="dxa"/>
            <w:right w:w="108" w:type="dxa"/>
          </w:tblCellMar>
        </w:tblPrEx>
        <w:trPr>
          <w:jc w:val="center"/>
        </w:trPr>
        <w:tc>
          <w:tcPr>
            <w:tcW w:w="6771" w:type="dxa"/>
            <w:vAlign w:val="center"/>
          </w:tcPr>
          <w:p w14:paraId="05C132A4">
            <w:pPr>
              <w:widowControl/>
              <w:spacing w:line="320" w:lineRule="exact"/>
              <w:rPr>
                <w:rFonts w:ascii="仿宋_GB2312" w:hAnsi="Times New Roman" w:eastAsia="仿宋_GB2312" w:cs="Times New Roman"/>
                <w:kern w:val="0"/>
                <w:szCs w:val="21"/>
              </w:rPr>
            </w:pPr>
            <w:r>
              <w:rPr>
                <w:rFonts w:hint="eastAsia" w:ascii="仿宋_GB2312" w:eastAsia="仿宋_GB2312" w:cs="Times New Roman" w:hAnsiTheme="minorEastAsia"/>
                <w:kern w:val="0"/>
                <w:szCs w:val="21"/>
              </w:rPr>
              <w:t>（</w:t>
            </w:r>
            <w:r>
              <w:rPr>
                <w:rFonts w:hint="eastAsia" w:ascii="仿宋_GB2312" w:hAnsi="Times New Roman" w:eastAsia="仿宋_GB2312" w:cs="Times New Roman"/>
                <w:kern w:val="0"/>
                <w:szCs w:val="21"/>
              </w:rPr>
              <w:t>3</w:t>
            </w:r>
            <w:r>
              <w:rPr>
                <w:rFonts w:hint="eastAsia" w:ascii="仿宋_GB2312" w:hAnsi="Times New Roman" w:eastAsia="仿宋_GB2312" w:cs="Times New Roman"/>
                <w:kern w:val="0"/>
                <w:szCs w:val="21"/>
                <w:lang w:val="en-US" w:eastAsia="zh-CN"/>
              </w:rPr>
              <w:t>2</w:t>
            </w:r>
            <w:r>
              <w:rPr>
                <w:rFonts w:hint="eastAsia" w:ascii="仿宋_GB2312" w:eastAsia="仿宋_GB2312" w:cs="Times New Roman" w:hAnsiTheme="minorEastAsia"/>
                <w:kern w:val="0"/>
                <w:szCs w:val="21"/>
              </w:rPr>
              <w:t>）学术不端行为查处机制</w:t>
            </w:r>
          </w:p>
        </w:tc>
        <w:tc>
          <w:tcPr>
            <w:tcW w:w="7371" w:type="dxa"/>
            <w:vAlign w:val="center"/>
          </w:tcPr>
          <w:p w14:paraId="2360C302">
            <w:pP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《辽宁农业职业技术学院规章制度汇编</w:t>
            </w:r>
            <w:r>
              <w:rPr>
                <w:rFonts w:hint="eastAsia" w:ascii="Times New Roman" w:hAnsi="Times New Roman" w:eastAsia="仿宋_GB2312" w:cs="Times New Roman"/>
                <w:szCs w:val="21"/>
                <w:highlight w:val="none"/>
              </w:rPr>
              <w:t>（20</w:t>
            </w:r>
            <w:r>
              <w:rPr>
                <w:rFonts w:hint="eastAsia" w:ascii="Times New Roman" w:hAnsi="Times New Roman" w:eastAsia="仿宋_GB2312" w:cs="Times New Roman"/>
                <w:szCs w:val="21"/>
                <w:highlight w:val="none"/>
                <w:lang w:val="en-US" w:eastAsia="zh-CN"/>
              </w:rPr>
              <w:t>22</w:t>
            </w:r>
            <w:r>
              <w:rPr>
                <w:rFonts w:hint="eastAsia" w:ascii="Times New Roman" w:hAnsi="Times New Roman" w:eastAsia="仿宋_GB2312" w:cs="Times New Roman"/>
                <w:szCs w:val="21"/>
                <w:highlight w:val="none"/>
              </w:rPr>
              <w:t>）</w:t>
            </w:r>
            <w:r>
              <w:rPr>
                <w:rFonts w:ascii="Times New Roman" w:hAnsi="Times New Roman" w:eastAsia="仿宋_GB2312" w:cs="Times New Roman"/>
                <w:szCs w:val="21"/>
                <w:highlight w:val="none"/>
              </w:rPr>
              <w:t>》</w:t>
            </w:r>
          </w:p>
        </w:tc>
      </w:tr>
      <w:tr w14:paraId="0BA8F7F8">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2" w:space="0"/>
            <w:insideV w:val="single" w:color="000000" w:themeColor="text1" w:sz="2" w:space="0"/>
          </w:tblBorders>
          <w:tblCellMar>
            <w:top w:w="0" w:type="dxa"/>
            <w:left w:w="108" w:type="dxa"/>
            <w:bottom w:w="0" w:type="dxa"/>
            <w:right w:w="108" w:type="dxa"/>
          </w:tblCellMar>
        </w:tblPrEx>
        <w:trPr>
          <w:jc w:val="center"/>
        </w:trPr>
        <w:tc>
          <w:tcPr>
            <w:tcW w:w="6771" w:type="dxa"/>
            <w:vAlign w:val="center"/>
          </w:tcPr>
          <w:p w14:paraId="11D39661">
            <w:pPr>
              <w:widowControl/>
              <w:spacing w:line="320" w:lineRule="exact"/>
              <w:rPr>
                <w:rFonts w:ascii="仿宋_GB2312" w:hAnsi="Times New Roman" w:eastAsia="仿宋_GB2312" w:cs="Times New Roman"/>
                <w:kern w:val="0"/>
                <w:szCs w:val="21"/>
              </w:rPr>
            </w:pPr>
            <w:r>
              <w:rPr>
                <w:rFonts w:hint="eastAsia" w:ascii="仿宋_GB2312" w:eastAsia="仿宋_GB2312" w:cs="Times New Roman" w:hAnsiTheme="minorEastAsia"/>
                <w:kern w:val="0"/>
                <w:szCs w:val="21"/>
              </w:rPr>
              <w:t>（</w:t>
            </w:r>
            <w:r>
              <w:rPr>
                <w:rFonts w:hint="eastAsia" w:ascii="仿宋_GB2312" w:hAnsi="Times New Roman" w:eastAsia="仿宋_GB2312" w:cs="Times New Roman"/>
                <w:kern w:val="0"/>
                <w:szCs w:val="21"/>
              </w:rPr>
              <w:t>3</w:t>
            </w:r>
            <w:r>
              <w:rPr>
                <w:rFonts w:hint="eastAsia" w:ascii="仿宋_GB2312" w:hAnsi="Times New Roman" w:eastAsia="仿宋_GB2312" w:cs="Times New Roman"/>
                <w:kern w:val="0"/>
                <w:szCs w:val="21"/>
                <w:lang w:val="en-US" w:eastAsia="zh-CN"/>
              </w:rPr>
              <w:t>3</w:t>
            </w:r>
            <w:r>
              <w:rPr>
                <w:rFonts w:hint="eastAsia" w:ascii="仿宋_GB2312" w:eastAsia="仿宋_GB2312" w:cs="Times New Roman" w:hAnsiTheme="minorEastAsia"/>
                <w:kern w:val="0"/>
                <w:szCs w:val="21"/>
              </w:rPr>
              <w:t>）来华留学生管理相关规定</w:t>
            </w:r>
          </w:p>
        </w:tc>
        <w:tc>
          <w:tcPr>
            <w:tcW w:w="7371" w:type="dxa"/>
            <w:vAlign w:val="center"/>
          </w:tcPr>
          <w:p w14:paraId="59F39051">
            <w:pP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《辽宁农业职业技术学院规章制度汇编</w:t>
            </w:r>
            <w:r>
              <w:rPr>
                <w:rFonts w:hint="eastAsia" w:ascii="Times New Roman" w:hAnsi="Times New Roman" w:eastAsia="仿宋_GB2312" w:cs="Times New Roman"/>
                <w:szCs w:val="21"/>
                <w:highlight w:val="none"/>
              </w:rPr>
              <w:t>（20</w:t>
            </w:r>
            <w:r>
              <w:rPr>
                <w:rFonts w:hint="eastAsia" w:ascii="Times New Roman" w:hAnsi="Times New Roman" w:eastAsia="仿宋_GB2312" w:cs="Times New Roman"/>
                <w:szCs w:val="21"/>
                <w:highlight w:val="none"/>
                <w:lang w:val="en-US" w:eastAsia="zh-CN"/>
              </w:rPr>
              <w:t>22</w:t>
            </w:r>
            <w:r>
              <w:rPr>
                <w:rFonts w:hint="eastAsia" w:ascii="Times New Roman" w:hAnsi="Times New Roman" w:eastAsia="仿宋_GB2312" w:cs="Times New Roman"/>
                <w:szCs w:val="21"/>
                <w:highlight w:val="none"/>
              </w:rPr>
              <w:t>）</w:t>
            </w:r>
            <w:r>
              <w:rPr>
                <w:rFonts w:ascii="Times New Roman" w:hAnsi="Times New Roman" w:eastAsia="仿宋_GB2312" w:cs="Times New Roman"/>
                <w:szCs w:val="21"/>
                <w:highlight w:val="none"/>
              </w:rPr>
              <w:t>》</w:t>
            </w:r>
          </w:p>
        </w:tc>
      </w:tr>
      <w:tr w14:paraId="11AA776C">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2" w:space="0"/>
            <w:insideV w:val="single" w:color="000000" w:themeColor="text1" w:sz="2" w:space="0"/>
          </w:tblBorders>
          <w:tblCellMar>
            <w:top w:w="0" w:type="dxa"/>
            <w:left w:w="108" w:type="dxa"/>
            <w:bottom w:w="0" w:type="dxa"/>
            <w:right w:w="108" w:type="dxa"/>
          </w:tblCellMar>
        </w:tblPrEx>
        <w:trPr>
          <w:jc w:val="center"/>
        </w:trPr>
        <w:tc>
          <w:tcPr>
            <w:tcW w:w="6771" w:type="dxa"/>
            <w:vAlign w:val="center"/>
          </w:tcPr>
          <w:p w14:paraId="030A16B8">
            <w:pPr>
              <w:widowControl/>
              <w:spacing w:line="320" w:lineRule="exact"/>
              <w:rPr>
                <w:rFonts w:ascii="仿宋_GB2312" w:hAnsi="Times New Roman" w:eastAsia="仿宋_GB2312" w:cs="Times New Roman"/>
                <w:kern w:val="0"/>
                <w:szCs w:val="21"/>
              </w:rPr>
            </w:pPr>
            <w:r>
              <w:rPr>
                <w:rFonts w:hint="eastAsia" w:ascii="仿宋_GB2312" w:eastAsia="仿宋_GB2312" w:cs="Times New Roman" w:hAnsiTheme="minorEastAsia"/>
                <w:kern w:val="0"/>
                <w:szCs w:val="21"/>
              </w:rPr>
              <w:t>（</w:t>
            </w:r>
            <w:r>
              <w:rPr>
                <w:rFonts w:hint="eastAsia" w:ascii="仿宋_GB2312" w:hAnsi="Times New Roman" w:eastAsia="仿宋_GB2312" w:cs="Times New Roman"/>
                <w:kern w:val="0"/>
                <w:szCs w:val="21"/>
              </w:rPr>
              <w:t>3</w:t>
            </w:r>
            <w:r>
              <w:rPr>
                <w:rFonts w:hint="eastAsia" w:ascii="仿宋_GB2312" w:hAnsi="Times New Roman" w:eastAsia="仿宋_GB2312" w:cs="Times New Roman"/>
                <w:kern w:val="0"/>
                <w:szCs w:val="21"/>
                <w:lang w:val="en-US" w:eastAsia="zh-CN"/>
              </w:rPr>
              <w:t>4</w:t>
            </w:r>
            <w:r>
              <w:rPr>
                <w:rFonts w:hint="eastAsia" w:ascii="仿宋_GB2312" w:eastAsia="仿宋_GB2312" w:cs="Times New Roman" w:hAnsiTheme="minorEastAsia"/>
                <w:kern w:val="0"/>
                <w:szCs w:val="21"/>
              </w:rPr>
              <w:t>）落实巡视反馈意见整改情况</w:t>
            </w:r>
          </w:p>
        </w:tc>
        <w:tc>
          <w:tcPr>
            <w:tcW w:w="7371" w:type="dxa"/>
            <w:vAlign w:val="center"/>
          </w:tcPr>
          <w:p w14:paraId="7C282033">
            <w:pPr>
              <w:rPr>
                <w:rFonts w:ascii="Times New Roman" w:hAnsi="Times New Roman" w:eastAsia="仿宋_GB2312" w:cs="Times New Roman"/>
                <w:szCs w:val="21"/>
                <w:highlight w:val="none"/>
              </w:rPr>
            </w:pPr>
            <w:r>
              <w:rPr>
                <w:rFonts w:hint="eastAsia" w:ascii="Times New Roman" w:hAnsi="Times New Roman" w:eastAsia="仿宋_GB2312" w:cs="Times New Roman"/>
                <w:szCs w:val="21"/>
                <w:highlight w:val="none"/>
              </w:rPr>
              <w:t>全体中层干部大会</w:t>
            </w:r>
          </w:p>
        </w:tc>
      </w:tr>
      <w:tr w14:paraId="5152137E">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2" w:space="0"/>
            <w:insideV w:val="single" w:color="000000" w:themeColor="text1" w:sz="2" w:space="0"/>
          </w:tblBorders>
          <w:tblCellMar>
            <w:top w:w="0" w:type="dxa"/>
            <w:left w:w="108" w:type="dxa"/>
            <w:bottom w:w="0" w:type="dxa"/>
            <w:right w:w="108" w:type="dxa"/>
          </w:tblCellMar>
        </w:tblPrEx>
        <w:trPr>
          <w:jc w:val="center"/>
        </w:trPr>
        <w:tc>
          <w:tcPr>
            <w:tcW w:w="6771" w:type="dxa"/>
            <w:vAlign w:val="center"/>
          </w:tcPr>
          <w:p w14:paraId="11FA9FD2">
            <w:pPr>
              <w:widowControl/>
              <w:spacing w:line="320" w:lineRule="exact"/>
              <w:ind w:left="630" w:hanging="630" w:hangingChars="300"/>
              <w:rPr>
                <w:rFonts w:ascii="仿宋_GB2312" w:hAnsi="Times New Roman" w:eastAsia="仿宋_GB2312" w:cs="Times New Roman"/>
                <w:kern w:val="0"/>
                <w:szCs w:val="21"/>
              </w:rPr>
            </w:pPr>
            <w:r>
              <w:rPr>
                <w:rFonts w:hint="eastAsia" w:ascii="仿宋_GB2312" w:eastAsia="仿宋_GB2312" w:cs="Times New Roman" w:hAnsiTheme="minorEastAsia"/>
                <w:kern w:val="0"/>
                <w:szCs w:val="21"/>
              </w:rPr>
              <w:t>（</w:t>
            </w:r>
            <w:r>
              <w:rPr>
                <w:rFonts w:hint="eastAsia" w:ascii="仿宋_GB2312" w:hAnsi="Times New Roman" w:eastAsia="仿宋_GB2312" w:cs="Times New Roman"/>
                <w:kern w:val="0"/>
                <w:szCs w:val="21"/>
              </w:rPr>
              <w:t>3</w:t>
            </w:r>
            <w:r>
              <w:rPr>
                <w:rFonts w:hint="eastAsia" w:ascii="仿宋_GB2312" w:hAnsi="Times New Roman" w:eastAsia="仿宋_GB2312" w:cs="Times New Roman"/>
                <w:kern w:val="0"/>
                <w:szCs w:val="21"/>
                <w:lang w:val="en-US" w:eastAsia="zh-CN"/>
              </w:rPr>
              <w:t>5</w:t>
            </w:r>
            <w:r>
              <w:rPr>
                <w:rFonts w:hint="eastAsia" w:ascii="仿宋_GB2312" w:eastAsia="仿宋_GB2312" w:cs="Times New Roman" w:hAnsiTheme="minorEastAsia"/>
                <w:kern w:val="0"/>
                <w:szCs w:val="21"/>
              </w:rPr>
              <w:t>）自然灾害等突发事件的应急处理预案、预警信息和处置情况，涉及学校的重大事件的调查和处理情况</w:t>
            </w:r>
          </w:p>
        </w:tc>
        <w:tc>
          <w:tcPr>
            <w:tcW w:w="7371" w:type="dxa"/>
            <w:vAlign w:val="center"/>
          </w:tcPr>
          <w:p w14:paraId="02DE61BA">
            <w:pP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http://www.lnnzy.ln.cn/information/21.html</w:t>
            </w:r>
          </w:p>
        </w:tc>
      </w:tr>
    </w:tbl>
    <w:p w14:paraId="34194906">
      <w:pPr>
        <w:widowControl/>
        <w:spacing w:after="156" w:afterLines="50" w:line="520" w:lineRule="exact"/>
        <w:ind w:firstLine="562" w:firstLineChars="200"/>
        <w:jc w:val="left"/>
        <w:rPr>
          <w:rFonts w:ascii="仿宋_GB2312" w:hAnsi="宋体" w:eastAsia="仿宋_GB2312" w:cs="宋体"/>
          <w:b/>
          <w:bCs/>
          <w:color w:val="000000"/>
          <w:kern w:val="0"/>
          <w:sz w:val="28"/>
          <w:szCs w:val="28"/>
        </w:rPr>
      </w:pPr>
    </w:p>
    <w:p w14:paraId="7B5ED80A"/>
    <w:p w14:paraId="1D1F7E47">
      <w:pPr>
        <w:widowControl/>
        <w:spacing w:after="156" w:afterLines="50" w:line="520" w:lineRule="exact"/>
        <w:ind w:firstLine="562" w:firstLineChars="200"/>
        <w:jc w:val="left"/>
        <w:rPr>
          <w:rFonts w:ascii="仿宋_GB2312" w:hAnsi="宋体" w:eastAsia="仿宋_GB2312" w:cs="宋体"/>
          <w:b/>
          <w:bCs/>
          <w:color w:val="000000"/>
          <w:kern w:val="0"/>
          <w:sz w:val="28"/>
          <w:szCs w:val="28"/>
        </w:rPr>
      </w:pPr>
    </w:p>
    <w:p w14:paraId="5BAE3F2C"/>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94E54">
    <w:pPr>
      <w:pStyle w:val="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45135" cy="393065"/>
              <wp:effectExtent l="0" t="0" r="0" b="0"/>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445135" cy="393065"/>
                      </a:xfrm>
                      <a:prstGeom prst="rect">
                        <a:avLst/>
                      </a:prstGeom>
                      <a:noFill/>
                      <a:ln>
                        <a:noFill/>
                      </a:ln>
                    </wps:spPr>
                    <wps:txbx>
                      <w:txbxContent>
                        <w:sdt>
                          <w:sdtPr>
                            <w:id w:val="23143458"/>
                          </w:sdtPr>
                          <w:sdtContent>
                            <w:p w14:paraId="7DF0B190">
                              <w:pPr>
                                <w:pStyle w:val="3"/>
                                <w:jc w:val="cente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lang w:val="zh-CN"/>
                                </w:rPr>
                                <w:t>-</w:t>
                              </w:r>
                              <w:r>
                                <w:rPr>
                                  <w:rFonts w:asciiTheme="minorEastAsia" w:hAnsiTheme="minorEastAsia" w:cstheme="minorEastAsia"/>
                                  <w:sz w:val="28"/>
                                  <w:szCs w:val="28"/>
                                </w:rPr>
                                <w:t xml:space="preserve"> 8 -</w:t>
                              </w:r>
                              <w:r>
                                <w:rPr>
                                  <w:rFonts w:hint="eastAsia" w:asciiTheme="minorEastAsia" w:hAnsiTheme="minorEastAsia" w:cstheme="minorEastAsia"/>
                                  <w:sz w:val="28"/>
                                  <w:szCs w:val="28"/>
                                </w:rPr>
                                <w:fldChar w:fldCharType="end"/>
                              </w:r>
                            </w:p>
                          </w:sdtContent>
                        </w:sdt>
                        <w:p w14:paraId="105BD3EA"/>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30.95pt;width:35.05pt;mso-position-horizontal:center;mso-position-horizontal-relative:margin;mso-wrap-style:none;z-index:251659264;mso-width-relative:page;mso-height-relative:page;" filled="f" stroked="f" coordsize="21600,21600" o:gfxdata="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WfRTNtEAAAADAQAADwAAAAAAAAABACAAAAAiAAAAZHJzL2Rvd25yZXYueG1sUEsBAhQA&#10;FAAAAAgAh07iQAneDkv5AQAAAQQAAA4AAAAAAAAAAQAgAAAAIAEAAGRycy9lMm9Eb2MueG1sUEsF&#10;BgAAAAAGAAYAWQEAAIsFAAAAAA==&#10;">
              <v:fill on="f" focussize="0,0"/>
              <v:stroke on="f"/>
              <v:imagedata o:title=""/>
              <o:lock v:ext="edit" aspectratio="f"/>
              <v:textbox inset="0mm,0mm,0mm,0mm" style="mso-fit-shape-to-text:t;">
                <w:txbxContent>
                  <w:sdt>
                    <w:sdtPr>
                      <w:id w:val="23143458"/>
                    </w:sdtPr>
                    <w:sdtContent>
                      <w:p w14:paraId="7DF0B190">
                        <w:pPr>
                          <w:pStyle w:val="3"/>
                          <w:jc w:val="cente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lang w:val="zh-CN"/>
                          </w:rPr>
                          <w:t>-</w:t>
                        </w:r>
                        <w:r>
                          <w:rPr>
                            <w:rFonts w:asciiTheme="minorEastAsia" w:hAnsiTheme="minorEastAsia" w:cstheme="minorEastAsia"/>
                            <w:sz w:val="28"/>
                            <w:szCs w:val="28"/>
                          </w:rPr>
                          <w:t xml:space="preserve"> 8 -</w:t>
                        </w:r>
                        <w:r>
                          <w:rPr>
                            <w:rFonts w:hint="eastAsia" w:asciiTheme="minorEastAsia" w:hAnsiTheme="minorEastAsia" w:cstheme="minorEastAsia"/>
                            <w:sz w:val="28"/>
                            <w:szCs w:val="28"/>
                          </w:rPr>
                          <w:fldChar w:fldCharType="end"/>
                        </w:r>
                      </w:p>
                    </w:sdtContent>
                  </w:sdt>
                  <w:p w14:paraId="105BD3EA"/>
                </w:txbxContent>
              </v:textbox>
            </v:shape>
          </w:pict>
        </mc:Fallback>
      </mc:AlternateContent>
    </w:r>
  </w:p>
  <w:p w14:paraId="2009ED6D">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3OWJjYjE5NmI2ZGExNDRiYjI1ODI5ZmVkMmU0NmIifQ=="/>
  </w:docVars>
  <w:rsids>
    <w:rsidRoot w:val="0083105C"/>
    <w:rsid w:val="000366A6"/>
    <w:rsid w:val="00044471"/>
    <w:rsid w:val="000A68DE"/>
    <w:rsid w:val="000C03BE"/>
    <w:rsid w:val="000C607B"/>
    <w:rsid w:val="000C662B"/>
    <w:rsid w:val="000D0D98"/>
    <w:rsid w:val="000D77C4"/>
    <w:rsid w:val="000F0824"/>
    <w:rsid w:val="00115FF1"/>
    <w:rsid w:val="0013527F"/>
    <w:rsid w:val="001470EC"/>
    <w:rsid w:val="00167F38"/>
    <w:rsid w:val="001C6D76"/>
    <w:rsid w:val="001D48CE"/>
    <w:rsid w:val="001D71CC"/>
    <w:rsid w:val="001E1D0E"/>
    <w:rsid w:val="00203DEE"/>
    <w:rsid w:val="00206069"/>
    <w:rsid w:val="00235670"/>
    <w:rsid w:val="002755E6"/>
    <w:rsid w:val="002759CA"/>
    <w:rsid w:val="00280B62"/>
    <w:rsid w:val="002A2984"/>
    <w:rsid w:val="002A71C0"/>
    <w:rsid w:val="002C15A3"/>
    <w:rsid w:val="002D2DBF"/>
    <w:rsid w:val="003125DF"/>
    <w:rsid w:val="00337B92"/>
    <w:rsid w:val="00366941"/>
    <w:rsid w:val="00385125"/>
    <w:rsid w:val="00393C72"/>
    <w:rsid w:val="003B08B8"/>
    <w:rsid w:val="003B4618"/>
    <w:rsid w:val="00410CE5"/>
    <w:rsid w:val="004136F6"/>
    <w:rsid w:val="00423BDF"/>
    <w:rsid w:val="004245E1"/>
    <w:rsid w:val="00426FE1"/>
    <w:rsid w:val="00433B04"/>
    <w:rsid w:val="00433F09"/>
    <w:rsid w:val="004674DD"/>
    <w:rsid w:val="00474A7B"/>
    <w:rsid w:val="00482DAE"/>
    <w:rsid w:val="004A5064"/>
    <w:rsid w:val="004B1012"/>
    <w:rsid w:val="004B4323"/>
    <w:rsid w:val="004B47A0"/>
    <w:rsid w:val="004B4E45"/>
    <w:rsid w:val="004F76B9"/>
    <w:rsid w:val="00520551"/>
    <w:rsid w:val="00523B4B"/>
    <w:rsid w:val="00531A7A"/>
    <w:rsid w:val="005378E4"/>
    <w:rsid w:val="00542648"/>
    <w:rsid w:val="005447A8"/>
    <w:rsid w:val="00546D0D"/>
    <w:rsid w:val="00551D09"/>
    <w:rsid w:val="00566ADF"/>
    <w:rsid w:val="00587F27"/>
    <w:rsid w:val="005C0539"/>
    <w:rsid w:val="005C627C"/>
    <w:rsid w:val="005E7A6A"/>
    <w:rsid w:val="00606628"/>
    <w:rsid w:val="00616A4A"/>
    <w:rsid w:val="00624655"/>
    <w:rsid w:val="00642FE9"/>
    <w:rsid w:val="006457CD"/>
    <w:rsid w:val="00650D66"/>
    <w:rsid w:val="00680091"/>
    <w:rsid w:val="00680F80"/>
    <w:rsid w:val="006F0D67"/>
    <w:rsid w:val="006F2C16"/>
    <w:rsid w:val="00713E2C"/>
    <w:rsid w:val="00715466"/>
    <w:rsid w:val="00735B4D"/>
    <w:rsid w:val="007567B8"/>
    <w:rsid w:val="0077217A"/>
    <w:rsid w:val="00782B1A"/>
    <w:rsid w:val="007B5ED0"/>
    <w:rsid w:val="007C4F80"/>
    <w:rsid w:val="007E0C9E"/>
    <w:rsid w:val="007E4F3E"/>
    <w:rsid w:val="007F3727"/>
    <w:rsid w:val="007F4E32"/>
    <w:rsid w:val="008160B5"/>
    <w:rsid w:val="0083105C"/>
    <w:rsid w:val="00843328"/>
    <w:rsid w:val="008602B9"/>
    <w:rsid w:val="0086478D"/>
    <w:rsid w:val="008776E9"/>
    <w:rsid w:val="00886E68"/>
    <w:rsid w:val="0088773A"/>
    <w:rsid w:val="008929A3"/>
    <w:rsid w:val="008962EE"/>
    <w:rsid w:val="008B4A0F"/>
    <w:rsid w:val="008E04AA"/>
    <w:rsid w:val="008E7BFB"/>
    <w:rsid w:val="008E7D04"/>
    <w:rsid w:val="008F0366"/>
    <w:rsid w:val="00983564"/>
    <w:rsid w:val="00992FF2"/>
    <w:rsid w:val="009B1D13"/>
    <w:rsid w:val="009B266E"/>
    <w:rsid w:val="009D31F6"/>
    <w:rsid w:val="009D41FC"/>
    <w:rsid w:val="00A00218"/>
    <w:rsid w:val="00A02BDE"/>
    <w:rsid w:val="00A12B48"/>
    <w:rsid w:val="00A133B7"/>
    <w:rsid w:val="00A24910"/>
    <w:rsid w:val="00A360D5"/>
    <w:rsid w:val="00A46360"/>
    <w:rsid w:val="00A50868"/>
    <w:rsid w:val="00A62AF2"/>
    <w:rsid w:val="00A76603"/>
    <w:rsid w:val="00AB32AA"/>
    <w:rsid w:val="00AD4B1A"/>
    <w:rsid w:val="00AE2F19"/>
    <w:rsid w:val="00AF0BDD"/>
    <w:rsid w:val="00B80784"/>
    <w:rsid w:val="00B81273"/>
    <w:rsid w:val="00BA160E"/>
    <w:rsid w:val="00BC39C8"/>
    <w:rsid w:val="00BC412C"/>
    <w:rsid w:val="00BC6666"/>
    <w:rsid w:val="00BD1029"/>
    <w:rsid w:val="00BF6DD9"/>
    <w:rsid w:val="00C0046A"/>
    <w:rsid w:val="00C12F95"/>
    <w:rsid w:val="00C31059"/>
    <w:rsid w:val="00C34011"/>
    <w:rsid w:val="00C40A73"/>
    <w:rsid w:val="00C41B93"/>
    <w:rsid w:val="00C441FE"/>
    <w:rsid w:val="00C444B7"/>
    <w:rsid w:val="00C550C5"/>
    <w:rsid w:val="00C563E7"/>
    <w:rsid w:val="00C723D1"/>
    <w:rsid w:val="00CA2F5F"/>
    <w:rsid w:val="00CA623D"/>
    <w:rsid w:val="00CC14BF"/>
    <w:rsid w:val="00CC449E"/>
    <w:rsid w:val="00CF255E"/>
    <w:rsid w:val="00D13BEC"/>
    <w:rsid w:val="00D17D9E"/>
    <w:rsid w:val="00D36D7E"/>
    <w:rsid w:val="00D404A2"/>
    <w:rsid w:val="00D45C38"/>
    <w:rsid w:val="00D47841"/>
    <w:rsid w:val="00D94D35"/>
    <w:rsid w:val="00DC2D1F"/>
    <w:rsid w:val="00DD57B7"/>
    <w:rsid w:val="00DD6CC1"/>
    <w:rsid w:val="00E02DB8"/>
    <w:rsid w:val="00E15788"/>
    <w:rsid w:val="00E3508D"/>
    <w:rsid w:val="00E412AC"/>
    <w:rsid w:val="00E53155"/>
    <w:rsid w:val="00E7016D"/>
    <w:rsid w:val="00EB55E9"/>
    <w:rsid w:val="00EC28C8"/>
    <w:rsid w:val="00EE3C8C"/>
    <w:rsid w:val="00EF78D1"/>
    <w:rsid w:val="00F16611"/>
    <w:rsid w:val="00F24F7F"/>
    <w:rsid w:val="00F253AE"/>
    <w:rsid w:val="00F2606B"/>
    <w:rsid w:val="00F5235B"/>
    <w:rsid w:val="00FE0969"/>
    <w:rsid w:val="00FE2933"/>
    <w:rsid w:val="01757D24"/>
    <w:rsid w:val="04293179"/>
    <w:rsid w:val="056671C9"/>
    <w:rsid w:val="057C552B"/>
    <w:rsid w:val="0718251F"/>
    <w:rsid w:val="07907932"/>
    <w:rsid w:val="088017D6"/>
    <w:rsid w:val="09297082"/>
    <w:rsid w:val="0B100735"/>
    <w:rsid w:val="0B353298"/>
    <w:rsid w:val="0C156430"/>
    <w:rsid w:val="0EDA4D25"/>
    <w:rsid w:val="0EE82E75"/>
    <w:rsid w:val="0FE85881"/>
    <w:rsid w:val="10C61D50"/>
    <w:rsid w:val="112D5F9F"/>
    <w:rsid w:val="151439D2"/>
    <w:rsid w:val="15E45152"/>
    <w:rsid w:val="17A70BD1"/>
    <w:rsid w:val="19511804"/>
    <w:rsid w:val="1A69031C"/>
    <w:rsid w:val="1B424BD6"/>
    <w:rsid w:val="1B522B5E"/>
    <w:rsid w:val="1CA70AE5"/>
    <w:rsid w:val="1CA76EDA"/>
    <w:rsid w:val="1EFE4413"/>
    <w:rsid w:val="202F3190"/>
    <w:rsid w:val="21BA6164"/>
    <w:rsid w:val="22D97AD7"/>
    <w:rsid w:val="23E50FF6"/>
    <w:rsid w:val="253F47A6"/>
    <w:rsid w:val="25D16D75"/>
    <w:rsid w:val="271F29F3"/>
    <w:rsid w:val="27660485"/>
    <w:rsid w:val="27BA7AD2"/>
    <w:rsid w:val="27CE7A10"/>
    <w:rsid w:val="28284C6C"/>
    <w:rsid w:val="2A166F79"/>
    <w:rsid w:val="2ABC535A"/>
    <w:rsid w:val="2C060962"/>
    <w:rsid w:val="2CAB4F54"/>
    <w:rsid w:val="2D12214D"/>
    <w:rsid w:val="2DC47D44"/>
    <w:rsid w:val="2DFA3CA0"/>
    <w:rsid w:val="32C263C3"/>
    <w:rsid w:val="34766219"/>
    <w:rsid w:val="354F7C64"/>
    <w:rsid w:val="377D7A77"/>
    <w:rsid w:val="3DDF4A5E"/>
    <w:rsid w:val="3EC66011"/>
    <w:rsid w:val="3F8A78EA"/>
    <w:rsid w:val="449D27EC"/>
    <w:rsid w:val="46D31A9E"/>
    <w:rsid w:val="473647BF"/>
    <w:rsid w:val="47760604"/>
    <w:rsid w:val="48610BBB"/>
    <w:rsid w:val="48D35174"/>
    <w:rsid w:val="4AA942A7"/>
    <w:rsid w:val="4B9F5686"/>
    <w:rsid w:val="4D2166E2"/>
    <w:rsid w:val="4FFA63BF"/>
    <w:rsid w:val="528F5E6A"/>
    <w:rsid w:val="548968E9"/>
    <w:rsid w:val="562C6C44"/>
    <w:rsid w:val="564A7DF2"/>
    <w:rsid w:val="564D42E4"/>
    <w:rsid w:val="565151E5"/>
    <w:rsid w:val="566A45C0"/>
    <w:rsid w:val="568866C9"/>
    <w:rsid w:val="583D5ED1"/>
    <w:rsid w:val="589767F7"/>
    <w:rsid w:val="5A314402"/>
    <w:rsid w:val="5BEF1728"/>
    <w:rsid w:val="5BF172E7"/>
    <w:rsid w:val="60255718"/>
    <w:rsid w:val="61C6117D"/>
    <w:rsid w:val="62823274"/>
    <w:rsid w:val="65302A5C"/>
    <w:rsid w:val="66EE2114"/>
    <w:rsid w:val="67B73F40"/>
    <w:rsid w:val="6C223454"/>
    <w:rsid w:val="6C8A1F18"/>
    <w:rsid w:val="6F6D1EBF"/>
    <w:rsid w:val="71E4281B"/>
    <w:rsid w:val="755438BE"/>
    <w:rsid w:val="76E02E37"/>
    <w:rsid w:val="77580D7F"/>
    <w:rsid w:val="780F0D30"/>
    <w:rsid w:val="78B239AC"/>
    <w:rsid w:val="7D104A16"/>
    <w:rsid w:val="7D6961D0"/>
    <w:rsid w:val="7DEC5927"/>
    <w:rsid w:val="7F934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8">
    <w:name w:val="Hyperlink"/>
    <w:basedOn w:val="7"/>
    <w:autoRedefine/>
    <w:unhideWhenUsed/>
    <w:qFormat/>
    <w:uiPriority w:val="99"/>
    <w:rPr>
      <w:color w:val="0000FF" w:themeColor="hyperlink"/>
      <w:u w:val="single"/>
      <w14:textFill>
        <w14:solidFill>
          <w14:schemeClr w14:val="hlink"/>
        </w14:solidFill>
      </w14:textFill>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paragraph" w:styleId="11">
    <w:name w:val="List Paragraph"/>
    <w:basedOn w:val="1"/>
    <w:qFormat/>
    <w:uiPriority w:val="34"/>
    <w:pPr>
      <w:ind w:firstLine="420" w:firstLineChars="200"/>
    </w:pPr>
    <w:rPr>
      <w:rFonts w:ascii="Calibri" w:hAnsi="Calibri" w:eastAsia="宋体" w:cs="Times New Roman"/>
    </w:rPr>
  </w:style>
  <w:style w:type="character" w:customStyle="1" w:styleId="12">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6168</Words>
  <Characters>7720</Characters>
  <Lines>58</Lines>
  <Paragraphs>16</Paragraphs>
  <TotalTime>4</TotalTime>
  <ScaleCrop>false</ScaleCrop>
  <LinksUpToDate>false</LinksUpToDate>
  <CharactersWithSpaces>7735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2022-11-06T06:24:00Z</dcterms:created>
  <dc:creator>lenovo</dc:creator>
  <cp:lastModifiedBy>张春浩</cp:lastModifiedBy>
  <cp:lastPrinted>2021-10-29T07:21:00Z</cp:lastPrinted>
  <dcterms:modified xsi:type="dcterms:W3CDTF">2024-11-04T06:48:48Z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B5D873B891204A349292EA4F4BA60ABE_13</vt:lpwstr>
  </property>
</Properties>
</file>