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306"/>
      </w:tblGrid>
      <w:tr w:rsidR="00E873FA" w:rsidRPr="00E873FA" w:rsidTr="00E873FA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0"/>
              <w:gridCol w:w="240"/>
              <w:gridCol w:w="6"/>
            </w:tblGrid>
            <w:tr w:rsidR="00E873FA" w:rsidRPr="00E873FA">
              <w:trPr>
                <w:gridAfter w:val="1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top w:w="225" w:type="dxa"/>
                      <w:left w:w="225" w:type="dxa"/>
                      <w:bottom w:w="225" w:type="dxa"/>
                      <w:right w:w="22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00"/>
                  </w:tblGrid>
                  <w:tr w:rsidR="00E873FA" w:rsidRPr="00E873F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50"/>
                        </w:tblGrid>
                        <w:tr w:rsidR="00E873FA" w:rsidRPr="00E873FA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873FA" w:rsidRPr="00E873FA" w:rsidRDefault="00E873FA" w:rsidP="00E873F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宋体" w:eastAsia="宋体" w:hAnsi="宋体" w:cs="宋体"/>
                                  <w:kern w:val="0"/>
                                  <w:sz w:val="44"/>
                                  <w:szCs w:val="44"/>
                                </w:rPr>
                                <w:t>辽宁农业职业技术学院乡村振兴产教</w:t>
                              </w:r>
                              <w:proofErr w:type="gramStart"/>
                              <w:r w:rsidRPr="00E873FA">
                                <w:rPr>
                                  <w:rFonts w:ascii="宋体" w:eastAsia="宋体" w:hAnsi="宋体" w:cs="宋体"/>
                                  <w:kern w:val="0"/>
                                  <w:sz w:val="44"/>
                                  <w:szCs w:val="44"/>
                                </w:rPr>
                                <w:t>融合育训基地</w:t>
                              </w:r>
                              <w:proofErr w:type="gramEnd"/>
                              <w:r w:rsidRPr="00E873FA">
                                <w:rPr>
                                  <w:rFonts w:ascii="宋体" w:eastAsia="宋体" w:hAnsi="宋体" w:cs="宋体"/>
                                  <w:kern w:val="0"/>
                                  <w:sz w:val="44"/>
                                  <w:szCs w:val="44"/>
                                </w:rPr>
                                <w:t>项目中药标本</w:t>
                              </w:r>
                              <w:proofErr w:type="gramStart"/>
                              <w:r w:rsidRPr="00E873FA">
                                <w:rPr>
                                  <w:rFonts w:ascii="宋体" w:eastAsia="宋体" w:hAnsi="宋体" w:cs="宋体"/>
                                  <w:kern w:val="0"/>
                                  <w:sz w:val="44"/>
                                  <w:szCs w:val="44"/>
                                </w:rPr>
                                <w:t>馆设备</w:t>
                              </w:r>
                              <w:proofErr w:type="gramEnd"/>
                              <w:r w:rsidRPr="00E873FA">
                                <w:rPr>
                                  <w:rFonts w:ascii="宋体" w:eastAsia="宋体" w:hAnsi="宋体" w:cs="宋体"/>
                                  <w:kern w:val="0"/>
                                  <w:sz w:val="44"/>
                                  <w:szCs w:val="44"/>
                                </w:rPr>
                                <w:t>及配套采购招标公告</w:t>
                              </w:r>
                            </w:p>
                          </w:tc>
                        </w:tr>
                        <w:tr w:rsidR="00E873FA" w:rsidRPr="00E873FA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873FA" w:rsidRPr="00E873FA" w:rsidRDefault="00E873FA" w:rsidP="00E873F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873FA" w:rsidRPr="00E873FA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873FA" w:rsidRPr="00E873FA" w:rsidRDefault="00E873FA" w:rsidP="00E873F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2"/>
                                <w:gridCol w:w="3218"/>
                                <w:gridCol w:w="715"/>
                                <w:gridCol w:w="2145"/>
                              </w:tblGrid>
                              <w:tr w:rsidR="00E873FA" w:rsidRPr="00E873FA">
                                <w:tc>
                                  <w:tcPr>
                                    <w:tcW w:w="750" w:type="pct"/>
                                    <w:tcBorders>
                                      <w:bottom w:val="dashed" w:sz="6" w:space="0" w:color="BECBDB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vAlign w:val="center"/>
                                    <w:hideMark/>
                                  </w:tcPr>
                                  <w:p w:rsidR="00E873FA" w:rsidRPr="00E873FA" w:rsidRDefault="00E873FA" w:rsidP="00E873FA">
                                    <w:pPr>
                                      <w:widowControl/>
                                      <w:wordWrap w:val="0"/>
                                      <w:spacing w:line="240" w:lineRule="atLeast"/>
                                      <w:jc w:val="right"/>
                                      <w:rPr>
                                        <w:rFonts w:ascii="宋体" w:eastAsia="宋体" w:hAnsi="宋体" w:cs="宋体"/>
                                        <w:color w:val="2D51A9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E873FA">
                                      <w:rPr>
                                        <w:rFonts w:ascii="宋体" w:eastAsia="宋体" w:hAnsi="宋体" w:cs="宋体" w:hint="eastAsia"/>
                                        <w:color w:val="2D51A9"/>
                                        <w:kern w:val="0"/>
                                        <w:sz w:val="22"/>
                                      </w:rPr>
                                      <w:t>撰写单位:</w:t>
                                    </w:r>
                                  </w:p>
                                </w:tc>
                                <w:tc>
                                  <w:tcPr>
                                    <w:tcW w:w="2250" w:type="pct"/>
                                    <w:tcBorders>
                                      <w:bottom w:val="dashed" w:sz="6" w:space="0" w:color="BECBDB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vAlign w:val="center"/>
                                    <w:hideMark/>
                                  </w:tcPr>
                                  <w:p w:rsidR="00E873FA" w:rsidRPr="00E873FA" w:rsidRDefault="00E873FA" w:rsidP="00E873FA">
                                    <w:pPr>
                                      <w:widowControl/>
                                      <w:wordWrap w:val="0"/>
                                      <w:spacing w:line="240" w:lineRule="atLeast"/>
                                      <w:jc w:val="left"/>
                                      <w:rPr>
                                        <w:rFonts w:ascii="宋体" w:eastAsia="宋体" w:hAnsi="宋体" w:cs="宋体" w:hint="eastAsia"/>
                                        <w:color w:val="2D51A9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E873FA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>辽宁</w:t>
                                    </w:r>
                                    <w:proofErr w:type="gramStart"/>
                                    <w:r w:rsidRPr="00E873FA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>宏运招投标</w:t>
                                    </w:r>
                                    <w:proofErr w:type="gramEnd"/>
                                    <w:r w:rsidRPr="00E873FA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>代理有限公司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bottom w:val="dashed" w:sz="6" w:space="0" w:color="BECBDB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vAlign w:val="center"/>
                                    <w:hideMark/>
                                  </w:tcPr>
                                  <w:p w:rsidR="00E873FA" w:rsidRPr="00E873FA" w:rsidRDefault="00E873FA" w:rsidP="00E873FA">
                                    <w:pPr>
                                      <w:widowControl/>
                                      <w:wordWrap w:val="0"/>
                                      <w:spacing w:line="240" w:lineRule="atLeast"/>
                                      <w:jc w:val="right"/>
                                      <w:rPr>
                                        <w:rFonts w:ascii="宋体" w:eastAsia="宋体" w:hAnsi="宋体" w:cs="宋体" w:hint="eastAsia"/>
                                        <w:color w:val="2D51A9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E873FA">
                                      <w:rPr>
                                        <w:rFonts w:ascii="宋体" w:eastAsia="宋体" w:hAnsi="宋体" w:cs="宋体" w:hint="eastAsia"/>
                                        <w:color w:val="2D51A9"/>
                                        <w:kern w:val="0"/>
                                        <w:sz w:val="22"/>
                                      </w:rPr>
                                      <w:t>发布时间: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bottom w:val="dashed" w:sz="6" w:space="0" w:color="BECBDB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vAlign w:val="center"/>
                                    <w:hideMark/>
                                  </w:tcPr>
                                  <w:p w:rsidR="00E873FA" w:rsidRPr="00E873FA" w:rsidRDefault="00E873FA" w:rsidP="00E873FA">
                                    <w:pPr>
                                      <w:widowControl/>
                                      <w:wordWrap w:val="0"/>
                                      <w:spacing w:line="240" w:lineRule="atLeast"/>
                                      <w:jc w:val="left"/>
                                      <w:rPr>
                                        <w:rFonts w:ascii="宋体" w:eastAsia="宋体" w:hAnsi="宋体" w:cs="宋体" w:hint="eastAsia"/>
                                        <w:color w:val="2D51A9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E873FA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>2025-03-06</w:t>
                                    </w:r>
                                  </w:p>
                                </w:tc>
                              </w:tr>
                            </w:tbl>
                            <w:p w:rsidR="00E873FA" w:rsidRPr="00E873FA" w:rsidRDefault="00E873FA" w:rsidP="00E873F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项目概况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after="240" w:line="560" w:lineRule="atLeast"/>
                                <w:ind w:firstLine="440"/>
                                <w:jc w:val="left"/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辽宁农业职业技术学院乡村振兴产教</w:t>
                              </w:r>
                              <w:proofErr w:type="gramStart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融合育训基地</w:t>
                              </w:r>
                              <w:proofErr w:type="gramEnd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项目中药标本</w:t>
                              </w:r>
                              <w:proofErr w:type="gramStart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馆设备</w:t>
                              </w:r>
                              <w:proofErr w:type="gramEnd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及配套采购招标项目的潜在供应商应在线上获取招标文件,并于2025年03月27日 09时30分（北京时间）前递交投标文件。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一、项目基本情况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项目编号：JH25-210000-07509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项目名称：辽宁农业职业技术学院乡村振兴产教</w:t>
                              </w:r>
                              <w:proofErr w:type="gramStart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融合育训基地</w:t>
                              </w:r>
                              <w:proofErr w:type="gramEnd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项目中药标本</w:t>
                              </w:r>
                              <w:proofErr w:type="gramStart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馆设备</w:t>
                              </w:r>
                              <w:proofErr w:type="gramEnd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及配套采购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112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包组编号：001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112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预算金额（元）：1411600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112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最高限价（元）：1411600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112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采购需求：</w:t>
                              </w:r>
                              <w:hyperlink r:id="rId4" w:history="1">
                                <w:r w:rsidRPr="00E873FA">
                                  <w:rPr>
                                    <w:rFonts w:ascii="宋体" w:eastAsia="宋体" w:hAnsi="宋体" w:cs="宋体" w:hint="eastAsia"/>
                                    <w:color w:val="1890FF"/>
                                    <w:kern w:val="0"/>
                                    <w:sz w:val="24"/>
                                    <w:szCs w:val="24"/>
                                    <w:u w:val="single"/>
                                  </w:rPr>
                                  <w:t>查看</w:t>
                                </w:r>
                              </w:hyperlink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112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合同履行期限：合同签订后1个月内到货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需落实的政府采购政策内容：1.对于中小微企业（含监狱企业）的相关规定；2.对于促进残疾人就业政府采购政策的相关规定等。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112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本项目（是/否）接受联合体投标：</w:t>
                              </w:r>
                              <w:proofErr w:type="gramStart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否</w:t>
                              </w:r>
                              <w:proofErr w:type="gramEnd"/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二、供应商的资格要求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1.满足《中华人民共和国政府采购法》第二十二条规定。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color w:val="333333"/>
                                  <w:kern w:val="0"/>
                                  <w:sz w:val="28"/>
                                  <w:szCs w:val="28"/>
                                </w:rPr>
                                <w:t>2.落实政府采购政策需满足的资格要求：无。本项目非专门面向中小企业采购，符合《政府采购促进中小企业发展管理办法》第六条第（三）项的情形：“按照本办法规定预留采购份额无法确保充分供应、充分竞争，或者存在可能影响政府采购目标实现的情形”。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color w:val="333333"/>
                                  <w:kern w:val="0"/>
                                  <w:sz w:val="28"/>
                                  <w:szCs w:val="28"/>
                                </w:rPr>
                                <w:t>3.本项目的特定资格要求：无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三、政府采购供应商入库须知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参加辽宁省政府采购活动的供应商未进入辽宁省政府采购</w:t>
                              </w:r>
                              <w:proofErr w:type="gramStart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供应商库的</w:t>
                              </w:r>
                              <w:proofErr w:type="gramEnd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，请详阅辽宁政府采购网 “首页—政策法规”中公布的“政府采购供应商入库”的相关规定，及时办理入库登记手续。填写单位名称、统一社会信用代码和联系人等简要信息，由系统自动开通账号后，即可参与政府采购活动。具体规定详见《关于进一步优化辽宁省政府</w:t>
                              </w: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采购供应商入库程序的通知》（</w:t>
                              </w:r>
                              <w:proofErr w:type="gramStart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辽财采函</w:t>
                              </w:r>
                              <w:proofErr w:type="gramEnd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〔2020〕198号）。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四、获取招标文件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时间：2025年03月06日22时00分至2025年03月14日00时00分（北京时间，法定节假日除外）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地点：线上获取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方式：线上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售价：免费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五、提交投标文件截止时间、开标时间和地点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2025年03月27日 09时30分（北京时间）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地点：沈阳市和平区市府大路55号年华国际大厦2503室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六、公告期限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自本公告发布之日起5个工作日。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七、质疑与投诉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供应商认为自己的权益受到损害的，可以在知道或者应知其权益受到损害之日起七个工作日内，向采购代理机构或采购人提出质疑。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1、接收质疑函方式：线上或书面纸质质疑函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2、质疑函内容、格式：应符合《政府采购质疑和投诉办法》相关规定和财政部制定的《政府采购质疑函范本》格式，详见辽宁政府采购网。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质疑供应商对采购人、采购代理机构的答复不满意，或者采购人、采购代理机构未在规定时间内</w:t>
                              </w:r>
                              <w:proofErr w:type="gramStart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作出</w:t>
                              </w:r>
                              <w:proofErr w:type="gramEnd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答复的，可以在答复期满后15个工作日内向本级财政部门提起投诉。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八、其他补充事宜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1、投标人应认真学习电子投标（响应）文件制作教程，有任何技术问题可拨打网站客</w:t>
                              </w:r>
                              <w:proofErr w:type="gramStart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服电话</w:t>
                              </w:r>
                              <w:proofErr w:type="gramEnd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进行咨询：400-128-8588，代理机构不负责解答此类问题。投标人因自身操作问题导致的一切不良后果由投标人自身负责。 2、投标人除在电子评审系统上传响应文件外，应在递交投标文件截止时间前电子备份文件提交至辽宁</w:t>
                              </w:r>
                              <w:proofErr w:type="gramStart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宏运招投标</w:t>
                              </w:r>
                              <w:proofErr w:type="gramEnd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代理有限公司2503开标室或以加密文件形式发至邮箱1607299120@qq.com，并承诺备份文件与电子评审系统中上传的投标文件内容、格式一致，</w:t>
                              </w:r>
                              <w:proofErr w:type="gramStart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备系统</w:t>
                              </w:r>
                              <w:proofErr w:type="gramEnd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突发故障使用。投标人仅提交备份文件的，投标无效。 3、投标人需在投标文件中提供备份文件与电子评审系统中上传的投标（响应）文件内容、格式一致的承诺函（格式自拟），开标时，投标人自行准备投标解密所需可以登录辽宁政府采购</w:t>
                              </w: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网并成功进入账号的电脑以及CA认证等设备。投标人对投标文件进行网络电子解密均应在30分钟内完成。 4、投标人在电子评审活动中出现以下情形的，应按如下规定进行处理： （1）因投标人原因造成投标文件未解密的； （2）因投标人自用设备原因造成的未在规定时间内解密、上传文件或投标（响应）报价等问题影响电子评审的； （3）因投标人原因未对文件校验造成信息缺失、文件内容或格式不正确以及备份文件不符合要求等问题影响评审的。 出现前款（1）（2）情形的，视为放弃投标（响应）；出现前款（3）情形的，由投标人自行承担相应责任。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九、对本次招标提出询问，请按以下方式联系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1.采购人信息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</w:t>
                              </w:r>
                              <w:r w:rsidRPr="00E873FA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称：</w:t>
                              </w:r>
                              <w:r w:rsidRPr="00E873F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辽宁农业职业技术学院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地</w:t>
                              </w:r>
                              <w:r w:rsidRPr="00E873FA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址：</w:t>
                              </w:r>
                              <w:r w:rsidRPr="00E873F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营口经济技术开发区熊岳镇</w:t>
                              </w:r>
                              <w:proofErr w:type="gramStart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育才里</w:t>
                              </w:r>
                              <w:proofErr w:type="gramEnd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76-0号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联系方式：0417-7020885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2.采购代理机构信息：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</w:t>
                              </w:r>
                              <w:r w:rsidRPr="00E873FA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称：辽宁</w:t>
                              </w:r>
                              <w:proofErr w:type="gramStart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宏运招投标</w:t>
                              </w:r>
                              <w:proofErr w:type="gramEnd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代理有限公司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地</w:t>
                              </w:r>
                              <w:r w:rsidRPr="00E873FA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址：沈阳市和平区市府大路55号年华国际大厦2520室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联系方式：024-23492112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邮箱地址：1607299120@qq.com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开户行：中国工商银行股份有限公司沈阳南京街支行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账户名称：辽宁</w:t>
                              </w:r>
                              <w:proofErr w:type="gramStart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宏运招投标</w:t>
                              </w:r>
                              <w:proofErr w:type="gramEnd"/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代理有限公司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账号：9558833301000085053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3.项目联系方式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项目联系人：胡平</w:t>
                              </w:r>
                            </w:p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电</w:t>
                              </w:r>
                              <w:r w:rsidRPr="00E873FA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E873FA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话：024-23492112</w:t>
                              </w:r>
                            </w:p>
                          </w:tc>
                        </w:tr>
                        <w:tr w:rsidR="00E873FA" w:rsidRPr="00E873FA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873FA" w:rsidRPr="00E873FA" w:rsidRDefault="00E873FA" w:rsidP="00E873FA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873FA" w:rsidRPr="00E873FA">
                          <w:tc>
                            <w:tcPr>
                              <w:tcW w:w="0" w:type="auto"/>
                              <w:shd w:val="clear" w:color="auto" w:fill="F6F9FE"/>
                              <w:vAlign w:val="center"/>
                              <w:hideMark/>
                            </w:tcPr>
                            <w:p w:rsidR="00E873FA" w:rsidRPr="00E873FA" w:rsidRDefault="00E873FA" w:rsidP="00E873FA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873FA" w:rsidRPr="00E873FA" w:rsidRDefault="00E873FA" w:rsidP="00E873F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873FA" w:rsidRPr="00E873FA" w:rsidRDefault="00E873FA" w:rsidP="00E873F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73FA" w:rsidRPr="00E873FA" w:rsidRDefault="00E873FA" w:rsidP="00E873F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87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E873FA" w:rsidRPr="00E873FA">
              <w:tc>
                <w:tcPr>
                  <w:tcW w:w="0" w:type="auto"/>
                  <w:vAlign w:val="center"/>
                  <w:hideMark/>
                </w:tcPr>
                <w:p w:rsidR="00E873FA" w:rsidRPr="00E873FA" w:rsidRDefault="00E873FA" w:rsidP="00E873F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73FA" w:rsidRPr="00E873FA" w:rsidRDefault="00E873FA" w:rsidP="00E873F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73FA" w:rsidRPr="00E873FA" w:rsidRDefault="00E873FA" w:rsidP="00E873F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873FA" w:rsidRPr="00E873FA" w:rsidRDefault="00E873FA" w:rsidP="00E873FA">
            <w:pPr>
              <w:widowControl/>
              <w:jc w:val="left"/>
              <w:rPr>
                <w:rFonts w:ascii="微软雅黑" w:eastAsia="微软雅黑" w:hAnsi="微软雅黑" w:cs="宋体"/>
                <w:color w:val="212121"/>
                <w:kern w:val="0"/>
                <w:szCs w:val="21"/>
              </w:rPr>
            </w:pPr>
          </w:p>
        </w:tc>
      </w:tr>
    </w:tbl>
    <w:p w:rsidR="00684835" w:rsidRDefault="00684835"/>
    <w:sectPr w:rsidR="00684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5E"/>
    <w:rsid w:val="005C305E"/>
    <w:rsid w:val="00684835"/>
    <w:rsid w:val="00E8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DA4D"/>
  <w15:chartTrackingRefBased/>
  <w15:docId w15:val="{CF75B39E-A407-4750-8ABB-A205B676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7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61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8096">
                  <w:marLeft w:val="525"/>
                  <w:marRight w:val="525"/>
                  <w:marTop w:val="22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14454504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1420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3202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182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7791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9144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608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7436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5664">
                  <w:marLeft w:val="52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5609">
                  <w:marLeft w:val="58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4423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6017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0431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2729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107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8342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7508">
                  <w:marLeft w:val="58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709">
                  <w:marLeft w:val="58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5589">
                  <w:marLeft w:val="58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5291">
                  <w:marLeft w:val="58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4598">
                  <w:marLeft w:val="112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606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8838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3277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0550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539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8683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3365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838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4555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2933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7653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911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5803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9042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3084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showBulletinInfo('001'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2025-03-07T00:59:00Z</dcterms:created>
  <dcterms:modified xsi:type="dcterms:W3CDTF">2025-03-07T00:59:00Z</dcterms:modified>
</cp:coreProperties>
</file>