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306"/>
      </w:tblGrid>
      <w:tr w:rsidR="004F1CC4" w:rsidRPr="004F1CC4" w:rsidTr="004F1CC4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0"/>
              <w:gridCol w:w="240"/>
              <w:gridCol w:w="6"/>
            </w:tblGrid>
            <w:tr w:rsidR="004F1CC4" w:rsidRPr="004F1CC4">
              <w:trPr>
                <w:gridAfter w:val="1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top w:w="225" w:type="dxa"/>
                      <w:left w:w="225" w:type="dxa"/>
                      <w:bottom w:w="225" w:type="dxa"/>
                      <w:right w:w="22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00"/>
                  </w:tblGrid>
                  <w:tr w:rsidR="004F1CC4" w:rsidRPr="004F1CC4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150"/>
                        </w:tblGrid>
                        <w:tr w:rsidR="004F1CC4" w:rsidRPr="004F1CC4">
                          <w:trPr>
                            <w:trHeight w:val="300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F1CC4" w:rsidRPr="004F1CC4" w:rsidRDefault="004F1CC4" w:rsidP="004F1CC4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bookmarkStart w:id="0" w:name="_GoBack"/>
                              <w:r w:rsidRPr="004F1CC4">
                                <w:rPr>
                                  <w:rFonts w:ascii="宋体" w:eastAsia="宋体" w:hAnsi="宋体" w:cs="宋体"/>
                                  <w:kern w:val="0"/>
                                  <w:sz w:val="44"/>
                                  <w:szCs w:val="44"/>
                                </w:rPr>
                                <w:t>辽宁农业职业技术学院乡村振兴产教</w:t>
                              </w:r>
                              <w:proofErr w:type="gramStart"/>
                              <w:r w:rsidRPr="004F1CC4">
                                <w:rPr>
                                  <w:rFonts w:ascii="宋体" w:eastAsia="宋体" w:hAnsi="宋体" w:cs="宋体"/>
                                  <w:kern w:val="0"/>
                                  <w:sz w:val="44"/>
                                  <w:szCs w:val="44"/>
                                </w:rPr>
                                <w:t>融合育训基地</w:t>
                              </w:r>
                              <w:proofErr w:type="gramEnd"/>
                              <w:r w:rsidRPr="004F1CC4">
                                <w:rPr>
                                  <w:rFonts w:ascii="宋体" w:eastAsia="宋体" w:hAnsi="宋体" w:cs="宋体"/>
                                  <w:kern w:val="0"/>
                                  <w:sz w:val="44"/>
                                  <w:szCs w:val="44"/>
                                </w:rPr>
                                <w:t>项目中药标本</w:t>
                              </w:r>
                              <w:proofErr w:type="gramStart"/>
                              <w:r w:rsidRPr="004F1CC4">
                                <w:rPr>
                                  <w:rFonts w:ascii="宋体" w:eastAsia="宋体" w:hAnsi="宋体" w:cs="宋体"/>
                                  <w:kern w:val="0"/>
                                  <w:sz w:val="44"/>
                                  <w:szCs w:val="44"/>
                                </w:rPr>
                                <w:t>馆设备</w:t>
                              </w:r>
                              <w:proofErr w:type="gramEnd"/>
                              <w:r w:rsidRPr="004F1CC4">
                                <w:rPr>
                                  <w:rFonts w:ascii="宋体" w:eastAsia="宋体" w:hAnsi="宋体" w:cs="宋体"/>
                                  <w:kern w:val="0"/>
                                  <w:sz w:val="44"/>
                                  <w:szCs w:val="44"/>
                                </w:rPr>
                                <w:t>及配套采购结果公告</w:t>
                              </w:r>
                              <w:bookmarkEnd w:id="0"/>
                            </w:p>
                          </w:tc>
                        </w:tr>
                        <w:tr w:rsidR="004F1CC4" w:rsidRPr="004F1CC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1CC4" w:rsidRPr="004F1CC4" w:rsidRDefault="004F1CC4" w:rsidP="004F1CC4">
                              <w:pPr>
                                <w:widowControl/>
                                <w:jc w:val="center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F1CC4" w:rsidRPr="004F1CC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1CC4" w:rsidRPr="004F1CC4" w:rsidRDefault="004F1CC4" w:rsidP="004F1CC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2"/>
                                <w:gridCol w:w="3217"/>
                                <w:gridCol w:w="1073"/>
                                <w:gridCol w:w="1788"/>
                              </w:tblGrid>
                              <w:tr w:rsidR="004F1CC4" w:rsidRPr="004F1CC4">
                                <w:tc>
                                  <w:tcPr>
                                    <w:tcW w:w="750" w:type="pct"/>
                                    <w:tcBorders>
                                      <w:bottom w:val="dashed" w:sz="6" w:space="0" w:color="BECBDB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vAlign w:val="center"/>
                                    <w:hideMark/>
                                  </w:tcPr>
                                  <w:p w:rsidR="004F1CC4" w:rsidRPr="004F1CC4" w:rsidRDefault="004F1CC4" w:rsidP="004F1CC4">
                                    <w:pPr>
                                      <w:widowControl/>
                                      <w:wordWrap w:val="0"/>
                                      <w:spacing w:line="240" w:lineRule="atLeast"/>
                                      <w:jc w:val="right"/>
                                      <w:rPr>
                                        <w:rFonts w:ascii="宋体" w:eastAsia="宋体" w:hAnsi="宋体" w:cs="宋体"/>
                                        <w:color w:val="2D51A9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F1CC4">
                                      <w:rPr>
                                        <w:rFonts w:ascii="仿宋" w:eastAsia="仿宋" w:hAnsi="仿宋" w:cs="宋体" w:hint="eastAsia"/>
                                        <w:color w:val="8C8C8C"/>
                                        <w:kern w:val="0"/>
                                        <w:sz w:val="28"/>
                                        <w:szCs w:val="28"/>
                                      </w:rPr>
                                      <w:t>撰写单位:</w:t>
                                    </w:r>
                                  </w:p>
                                </w:tc>
                                <w:tc>
                                  <w:tcPr>
                                    <w:tcW w:w="2250" w:type="pct"/>
                                    <w:tcBorders>
                                      <w:bottom w:val="dashed" w:sz="6" w:space="0" w:color="BECBDB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vAlign w:val="center"/>
                                    <w:hideMark/>
                                  </w:tcPr>
                                  <w:p w:rsidR="004F1CC4" w:rsidRPr="004F1CC4" w:rsidRDefault="004F1CC4" w:rsidP="004F1CC4">
                                    <w:pPr>
                                      <w:widowControl/>
                                      <w:wordWrap w:val="0"/>
                                      <w:spacing w:line="240" w:lineRule="atLeast"/>
                                      <w:jc w:val="left"/>
                                      <w:rPr>
                                        <w:rFonts w:ascii="宋体" w:eastAsia="宋体" w:hAnsi="宋体" w:cs="宋体" w:hint="eastAsia"/>
                                        <w:color w:val="2D51A9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F1CC4">
                                      <w:rPr>
                                        <w:rFonts w:ascii="仿宋" w:eastAsia="仿宋" w:hAnsi="仿宋" w:cs="宋体" w:hint="eastAsia"/>
                                        <w:color w:val="8C8C8C"/>
                                        <w:kern w:val="0"/>
                                        <w:sz w:val="28"/>
                                        <w:szCs w:val="28"/>
                                      </w:rPr>
                                      <w:t>辽宁</w:t>
                                    </w:r>
                                    <w:proofErr w:type="gramStart"/>
                                    <w:r w:rsidRPr="004F1CC4">
                                      <w:rPr>
                                        <w:rFonts w:ascii="仿宋" w:eastAsia="仿宋" w:hAnsi="仿宋" w:cs="宋体" w:hint="eastAsia"/>
                                        <w:color w:val="8C8C8C"/>
                                        <w:kern w:val="0"/>
                                        <w:sz w:val="28"/>
                                        <w:szCs w:val="28"/>
                                      </w:rPr>
                                      <w:t>宏运招投标</w:t>
                                    </w:r>
                                    <w:proofErr w:type="gramEnd"/>
                                    <w:r w:rsidRPr="004F1CC4">
                                      <w:rPr>
                                        <w:rFonts w:ascii="仿宋" w:eastAsia="仿宋" w:hAnsi="仿宋" w:cs="宋体" w:hint="eastAsia"/>
                                        <w:color w:val="8C8C8C"/>
                                        <w:kern w:val="0"/>
                                        <w:sz w:val="28"/>
                                        <w:szCs w:val="28"/>
                                      </w:rPr>
                                      <w:t>代理有限公司</w:t>
                                    </w:r>
                                  </w:p>
                                </w:tc>
                                <w:tc>
                                  <w:tcPr>
                                    <w:tcW w:w="750" w:type="pct"/>
                                    <w:tcBorders>
                                      <w:bottom w:val="dashed" w:sz="6" w:space="0" w:color="BECBDB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vAlign w:val="center"/>
                                    <w:hideMark/>
                                  </w:tcPr>
                                  <w:p w:rsidR="004F1CC4" w:rsidRPr="004F1CC4" w:rsidRDefault="004F1CC4" w:rsidP="004F1CC4">
                                    <w:pPr>
                                      <w:widowControl/>
                                      <w:wordWrap w:val="0"/>
                                      <w:spacing w:line="240" w:lineRule="atLeast"/>
                                      <w:jc w:val="right"/>
                                      <w:rPr>
                                        <w:rFonts w:ascii="宋体" w:eastAsia="宋体" w:hAnsi="宋体" w:cs="宋体" w:hint="eastAsia"/>
                                        <w:color w:val="2D51A9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F1CC4">
                                      <w:rPr>
                                        <w:rFonts w:ascii="仿宋" w:eastAsia="仿宋" w:hAnsi="仿宋" w:cs="宋体" w:hint="eastAsia"/>
                                        <w:color w:val="8C8C8C"/>
                                        <w:kern w:val="0"/>
                                        <w:sz w:val="28"/>
                                        <w:szCs w:val="28"/>
                                      </w:rPr>
                                      <w:t>发布时间: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bottom w:val="dashed" w:sz="6" w:space="0" w:color="BECBDB"/>
                                    </w:tcBorders>
                                    <w:shd w:val="clear" w:color="auto" w:fill="FFFFFF"/>
                                    <w:tcMar>
                                      <w:top w:w="90" w:type="dxa"/>
                                      <w:left w:w="90" w:type="dxa"/>
                                      <w:bottom w:w="90" w:type="dxa"/>
                                      <w:right w:w="90" w:type="dxa"/>
                                    </w:tcMar>
                                    <w:vAlign w:val="center"/>
                                    <w:hideMark/>
                                  </w:tcPr>
                                  <w:p w:rsidR="004F1CC4" w:rsidRPr="004F1CC4" w:rsidRDefault="004F1CC4" w:rsidP="004F1CC4">
                                    <w:pPr>
                                      <w:widowControl/>
                                      <w:wordWrap w:val="0"/>
                                      <w:spacing w:line="240" w:lineRule="atLeast"/>
                                      <w:jc w:val="left"/>
                                      <w:rPr>
                                        <w:rFonts w:ascii="宋体" w:eastAsia="宋体" w:hAnsi="宋体" w:cs="宋体" w:hint="eastAsia"/>
                                        <w:color w:val="2D51A9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4F1CC4">
                                      <w:rPr>
                                        <w:rFonts w:ascii="仿宋" w:eastAsia="仿宋" w:hAnsi="仿宋" w:cs="宋体" w:hint="eastAsia"/>
                                        <w:color w:val="8C8C8C"/>
                                        <w:kern w:val="0"/>
                                        <w:sz w:val="28"/>
                                        <w:szCs w:val="28"/>
                                      </w:rPr>
                                      <w:t>2025-04-14</w:t>
                                    </w:r>
                                  </w:p>
                                </w:tc>
                              </w:tr>
                            </w:tbl>
                            <w:p w:rsidR="004F1CC4" w:rsidRPr="004F1CC4" w:rsidRDefault="004F1CC4" w:rsidP="004F1CC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br/>
                                <w:t>  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一</w:t>
                              </w:r>
                              <w:proofErr w:type="gramEnd"/>
                              <w:r w:rsidRPr="004F1CC4">
                                <w:rPr>
                                  <w:rFonts w:ascii="Calibri" w:eastAsia="黑体" w:hAnsi="Calibri" w:cs="Calibri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4F1CC4">
                                <w:rPr>
                                  <w:rFonts w:ascii="黑体" w:eastAsia="黑体" w:hAnsi="黑体" w:cs="Calibri"/>
                                  <w:kern w:val="0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4F1CC4">
                                <w:rPr>
                                  <w:rFonts w:ascii="Calibri" w:eastAsia="宋体" w:hAnsi="Calibri" w:cs="Calibri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项目编号</w:t>
                              </w:r>
                              <w:r w:rsidRPr="004F1CC4">
                                <w:rPr>
                                  <w:rFonts w:ascii="Calibri" w:eastAsia="黑体" w:hAnsi="Calibri" w:cs="Calibri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：JH25-210000-07509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二</w:t>
                              </w:r>
                              <w:r w:rsidRPr="004F1CC4">
                                <w:rPr>
                                  <w:rFonts w:ascii="Calibri" w:eastAsia="黑体" w:hAnsi="Calibri" w:cs="Calibri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4F1CC4">
                                <w:rPr>
                                  <w:rFonts w:ascii="黑体" w:eastAsia="黑体" w:hAnsi="黑体" w:cs="Calibri"/>
                                  <w:kern w:val="0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4F1CC4">
                                <w:rPr>
                                  <w:rFonts w:ascii="Calibri" w:eastAsia="宋体" w:hAnsi="Calibri" w:cs="Calibri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项目名称：辽宁农业职业技术学院乡村振兴产教</w:t>
                              </w:r>
                              <w:proofErr w:type="gramStart"/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融合育训基地</w:t>
                              </w:r>
                              <w:proofErr w:type="gramEnd"/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项目中药标本</w:t>
                              </w:r>
                              <w:proofErr w:type="gramStart"/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馆设备</w:t>
                              </w:r>
                              <w:proofErr w:type="gramEnd"/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及配套采购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三、中标（成交）信息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包组编号：001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包组名称：辽宁农业职业技术学院乡村振兴产教</w:t>
                              </w:r>
                              <w:proofErr w:type="gramStart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融合育训基地</w:t>
                              </w:r>
                              <w:proofErr w:type="gramEnd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项目中药标本</w:t>
                              </w:r>
                              <w:proofErr w:type="gramStart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馆设备</w:t>
                              </w:r>
                              <w:proofErr w:type="gramEnd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及配套采购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供应商名称：河南鼎信实业有限公司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供应商地址：河南省郑州市二七区郑州市二七区</w:t>
                              </w:r>
                              <w:proofErr w:type="gramStart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航海路与嵩山路</w:t>
                              </w:r>
                              <w:proofErr w:type="gramEnd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交叉口东方大厦14楼1406-64号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中标（成交）金额：818,000（元）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评审总得分：91.64（分）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四、主要标的信息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包组编号：001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包组名称：辽宁农业职业技术学院乡村振兴产教</w:t>
                              </w:r>
                              <w:proofErr w:type="gramStart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融合育训基地</w:t>
                              </w:r>
                              <w:proofErr w:type="gramEnd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项目中药标本</w:t>
                              </w:r>
                              <w:proofErr w:type="gramStart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馆设备</w:t>
                              </w:r>
                              <w:proofErr w:type="gramEnd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及配套采购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名称：炮制模拟仿真互动系统（A02102100教学仪器）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品牌：河南鼎信、HTC VIVE、艾博德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规格型号：55英寸、200cm*90cm*45cm、1700mm*600mm*2150mm、1500mm*750mm*800mm、1200*600*750mm/HDX-PZX V1.0、HTC VIVE PRO、TE-QS-55、200cm*90cm*45cm、1700mm*600mm*2150mm、1500mm*750mm*800mm、1200*600*750mm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单价（元）：185000.0000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名称：全国道地药材分布沙盘（硬件配套）（A02102100教学仪器）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品牌：河南鼎信、富华彩辉、艾博德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规格型号：6㎡、46寸/HDX-SP1、FH-P550A、TE-SN-49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单价（元）：65000.0000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名称：VR野外采集互动体验系统（A02102100教学仪器）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品牌：河南鼎信、艾博德、HTC VIVE、信锐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规格型号：55英寸/HDX-CZ V1.0、HTC VIVE PRO、TE-QS-55、RS3300-28M-PWR-SI-24T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单价（元）：98000.0000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名称：中医药发展史互动滑轨屏（A02102100教学仪器）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品牌：河南鼎信、艾博德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规格型号：55寸/HDX-ZFW V1.0、TE-XP-55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单价（元）：67000.0000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名称：中药学名家与典籍互动系统（A02102100教学仪器）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品牌：河南鼎信、富华彩辉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规格型号：4.9㎡/HDX-DJ V1.0、FH-P550A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单价（元）：88000.0000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名称：人体神经系统解剖模型（A02102100教学仪器）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品牌：蓝蝶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规格型号：90cm*30cm*5cm（均±2cm）/LDX/V18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数量：4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单价（元）：720.0000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名称：人体血液循环模型（A02102100教学仪器）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品牌：卓越科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规格型号：90*30*12CM（±5cm）/ZY-5244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数量：4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单价（元）：600.0000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名称：人体眼球解剖模型（A02102100教学仪器）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品牌：赋郡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规格型号：17*15*25cm（均±2cm）/KF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数量：4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单价（元）：1000.0000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名称：三性互换躯干模型（A02102100教学仪器）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</w:t>
                              </w:r>
                              <w:proofErr w:type="gramStart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诺博威</w:t>
                              </w:r>
                              <w:proofErr w:type="gramEnd"/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规格型号：85CM（±5cm）/85cm三性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数量：3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单价（元）：1000.0000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名称：人体全身彩色肌肉运动模型（A02102100教学仪器）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品牌：蓝蝶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规格型号：50cm*24.5cm*10cm（均±5cm）/LDX/V3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数量：4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单价（元）：500.0000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名称：十大关药系列标本（A02102100教学仪器）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规格型号：φ120*400mm（均±2mm）、φ150*150mm（误差±2mm）、250×350mm（±2mm）/HDX-B10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单价（元）：3500.0000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名称：中药炮制器具（A02102100教学仪器）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规格型号：定制/HDX-QJ2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单价（元）：65000.0000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名称：药食同源固化标本（A02102100教学仪器）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规格型号：φ100mm（±3mm）/HDX-B09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单价（元）：14600.0000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名称：道地药材固化标本（A02102100教学仪器）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规格型号：100mm*180mm（均±3mm）/HDX-B08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单价（元）：23000.0000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</w:t>
                              </w:r>
                              <w:proofErr w:type="gramStart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辽药六宝套</w:t>
                              </w:r>
                              <w:proofErr w:type="gramEnd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系（A02102100教学仪器）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规格型号：φ120*400mm（±2mm）、400*500mm（均±2mm）、φ250mm（±2mm）/HDX-B07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单价（元）：23000.0000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名称：方剂半包埋标本（A02102100教学仪器）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规格型号：350*500mm（±2mm）/HDX-B06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数量：8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单价（元）：480.0000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名称：动物矿物标本（A02102100教学仪器）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规格型号：75mm*180mm（±2mm）/HDX-B05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单价（元）：11000.0000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名称：生药固化标本（A02102100教学仪器）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规格型号：φ250mm（±2mm）/HDX-B04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数量：17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单价（元）：460.0000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名称：中药贵细标本（A02102100教学仪器）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规格型号：定制/HDX-B03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数量：2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单价（元）：1800.0000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名称：中药方剂固化标本（A02102100教学仪器）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品牌：河南鼎信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规格型号：250*350mm（±2mm）/HDX-B02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数量：24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单价（元）：490.0000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名称：配伍禁忌药材（A02102100教学仪器）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规格型号：Φ75×180mm（±2mm）/HDX-B01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单价（元）：12600.0000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名称：智能中央控制系统（A02102100教学仪器）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规格型号：定制/HDX-ZK V1.0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单价（元）：22000.0000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名称：中药采集与加工器具（A02102100教学仪器）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规格型号：定制/HDX-QJ1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单价（元）：38000.0000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货物类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名称：中药辨识互动系统（A02102100教学仪器）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品牌：河南鼎信、艾博德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规格型号：86英寸/HDX-PZX V1.0、TE-QS-86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数量：1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单价（元）：61000.0000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42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五、评审专家（单一来源采购人员）名单：</w:t>
                              </w:r>
                              <w:r w:rsidRPr="004F1CC4">
                                <w:rPr>
                                  <w:rFonts w:ascii="Calibri" w:eastAsia="黑体" w:hAnsi="Calibri" w:cs="Calibri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>高岩、马建民、刘兴辉、郑毅然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六、代理服务收费标准及金额：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包组编号：001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包组名称：辽宁农业职业技术学院乡村振兴产教</w:t>
                              </w:r>
                              <w:proofErr w:type="gramStart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融合育训基地</w:t>
                              </w:r>
                              <w:proofErr w:type="gramEnd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项目中药标本</w:t>
                              </w:r>
                              <w:proofErr w:type="gramStart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馆设备</w:t>
                              </w:r>
                              <w:proofErr w:type="gramEnd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及配套采购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代理服务收费标准及金额：参照国家计委印发的《招标代理服务收费管理暂行办法》（计价格）[2002]1980 号之规定标准收取，向成交人收取代理服务费金额12,270.00（元）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七、公告期限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自本公告发布之日起</w:t>
                              </w:r>
                              <w:r w:rsidRPr="004F1CC4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4F1CC4">
                                <w:rPr>
                                  <w:rFonts w:ascii="Calibri" w:eastAsia="宋体" w:hAnsi="Calibri" w:cs="Calibri"/>
                                  <w:kern w:val="0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4F1CC4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</w:t>
                              </w:r>
                              <w:proofErr w:type="gramStart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个</w:t>
                              </w:r>
                              <w:proofErr w:type="gramEnd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工作日。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八、其他补充事宜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（1）确定原因：采购人委托评标委员会直接确定中标人；</w:t>
                              </w: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br/>
                                <w:t>（2）确定时间：2025年4月14日；</w:t>
                              </w: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br/>
                                <w:t>（3）政府采购政策支持企业类型：无；</w:t>
                              </w: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br/>
                                <w:t>（4）保证金退还时间：未中标（成交）供应商应在本公告发布之日起5个工作日内，到采购代理机构办理退还保证金事宜；中标（成交）供应商应在政府采购合同签订之日</w:t>
                              </w: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起5个工作日内到采购代理机构办理退还保证金事宜；</w:t>
                              </w: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br/>
                                <w:t>（5）本公告期限为1个工作日，本公告自发布之日起将向中标（成交）供应商发布中标（成交）通知书；</w:t>
                              </w: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br/>
                                <w:t>（6）中标人应于中标公告发布之日起30</w:t>
                              </w:r>
                              <w:proofErr w:type="gramStart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日内与</w:t>
                              </w:r>
                              <w:proofErr w:type="gramEnd"/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采购人签订书面政府采购合同。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九、凡对本次公告内容提出询问，请按以下方式联系。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>1.采购人信息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 xml:space="preserve">名 </w:t>
                              </w:r>
                              <w:r w:rsidRPr="004F1CC4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  </w:t>
                              </w: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>称：辽宁农业职业技术学院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 xml:space="preserve">地 </w:t>
                              </w:r>
                              <w:r w:rsidRPr="004F1CC4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  </w:t>
                              </w: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>址：营口经济技术开发区熊岳镇</w:t>
                              </w:r>
                              <w:proofErr w:type="gramStart"/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>育才里</w:t>
                              </w:r>
                              <w:proofErr w:type="gramEnd"/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>76-0号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>联系方式：0417-7020885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>2.采购代理机构信息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 xml:space="preserve">名 </w:t>
                              </w:r>
                              <w:r w:rsidRPr="004F1CC4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  </w:t>
                              </w: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>称：辽宁</w:t>
                              </w:r>
                              <w:proofErr w:type="gramStart"/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>宏运招投标</w:t>
                              </w:r>
                              <w:proofErr w:type="gramEnd"/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>代理有限公司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 xml:space="preserve">地 </w:t>
                              </w:r>
                              <w:r w:rsidRPr="004F1CC4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  </w:t>
                              </w: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>址：沈阳市和平区市府大路55号年华国际大厦2520室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>联系方式：024-23492112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>3.项目联系方式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lastRenderedPageBreak/>
                                <w:t>项目联系人：胡平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 xml:space="preserve">电 </w:t>
                              </w:r>
                              <w:r w:rsidRPr="004F1CC4">
                                <w:rPr>
                                  <w:rFonts w:ascii="Calibri" w:eastAsia="仿宋" w:hAnsi="Calibri" w:cs="Calibri"/>
                                  <w:kern w:val="0"/>
                                  <w:sz w:val="28"/>
                                  <w:szCs w:val="28"/>
                                </w:rPr>
                                <w:t>     </w:t>
                              </w:r>
                              <w:r w:rsidRPr="004F1CC4">
                                <w:rPr>
                                  <w:rFonts w:ascii="仿宋" w:eastAsia="仿宋" w:hAnsi="仿宋" w:cs="宋体"/>
                                  <w:kern w:val="0"/>
                                  <w:sz w:val="28"/>
                                  <w:szCs w:val="28"/>
                                </w:rPr>
                                <w:t>话：024-23492112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黑体" w:eastAsia="黑体" w:hAnsi="黑体" w:cs="宋体" w:hint="eastAsia"/>
                                  <w:kern w:val="0"/>
                                  <w:sz w:val="28"/>
                                  <w:szCs w:val="28"/>
                                </w:rPr>
                                <w:t>十、附件</w:t>
                              </w:r>
                            </w:p>
                            <w:p w:rsidR="004F1CC4" w:rsidRPr="004F1CC4" w:rsidRDefault="004F1CC4" w:rsidP="004F1CC4">
                              <w:pPr>
                                <w:widowControl/>
                                <w:spacing w:after="240" w:line="360" w:lineRule="atLeast"/>
                                <w:ind w:firstLine="56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4F1CC4">
                                <w:rPr>
                                  <w:rFonts w:ascii="仿宋" w:eastAsia="仿宋" w:hAnsi="仿宋" w:cs="宋体" w:hint="eastAsia"/>
                                  <w:kern w:val="0"/>
                                  <w:sz w:val="28"/>
                                  <w:szCs w:val="28"/>
                                </w:rPr>
                                <w:t>采购文件：</w:t>
                              </w:r>
                              <w:hyperlink r:id="rId4" w:history="1">
                                <w:r w:rsidRPr="004F1CC4">
                                  <w:rPr>
                                    <w:rFonts w:ascii="仿宋" w:eastAsia="仿宋" w:hAnsi="仿宋" w:cs="宋体" w:hint="eastAsia"/>
                                    <w:color w:val="1890FF"/>
                                    <w:kern w:val="0"/>
                                    <w:sz w:val="28"/>
                                    <w:szCs w:val="28"/>
                                    <w:u w:val="single"/>
                                  </w:rPr>
                                  <w:t>更正稿-辽宁农业职业技术学院乡村振兴产教</w:t>
                                </w:r>
                                <w:proofErr w:type="gramStart"/>
                                <w:r w:rsidRPr="004F1CC4">
                                  <w:rPr>
                                    <w:rFonts w:ascii="仿宋" w:eastAsia="仿宋" w:hAnsi="仿宋" w:cs="宋体" w:hint="eastAsia"/>
                                    <w:color w:val="1890FF"/>
                                    <w:kern w:val="0"/>
                                    <w:sz w:val="28"/>
                                    <w:szCs w:val="28"/>
                                    <w:u w:val="single"/>
                                  </w:rPr>
                                  <w:t>融合育训基地</w:t>
                                </w:r>
                                <w:proofErr w:type="gramEnd"/>
                                <w:r w:rsidRPr="004F1CC4">
                                  <w:rPr>
                                    <w:rFonts w:ascii="仿宋" w:eastAsia="仿宋" w:hAnsi="仿宋" w:cs="宋体" w:hint="eastAsia"/>
                                    <w:color w:val="1890FF"/>
                                    <w:kern w:val="0"/>
                                    <w:sz w:val="28"/>
                                    <w:szCs w:val="28"/>
                                    <w:u w:val="single"/>
                                  </w:rPr>
                                  <w:t>项目中药标本</w:t>
                                </w:r>
                                <w:proofErr w:type="gramStart"/>
                                <w:r w:rsidRPr="004F1CC4">
                                  <w:rPr>
                                    <w:rFonts w:ascii="仿宋" w:eastAsia="仿宋" w:hAnsi="仿宋" w:cs="宋体" w:hint="eastAsia"/>
                                    <w:color w:val="1890FF"/>
                                    <w:kern w:val="0"/>
                                    <w:sz w:val="28"/>
                                    <w:szCs w:val="28"/>
                                    <w:u w:val="single"/>
                                  </w:rPr>
                                  <w:t>馆设备</w:t>
                                </w:r>
                                <w:proofErr w:type="gramEnd"/>
                                <w:r w:rsidRPr="004F1CC4">
                                  <w:rPr>
                                    <w:rFonts w:ascii="仿宋" w:eastAsia="仿宋" w:hAnsi="仿宋" w:cs="宋体" w:hint="eastAsia"/>
                                    <w:color w:val="1890FF"/>
                                    <w:kern w:val="0"/>
                                    <w:sz w:val="28"/>
                                    <w:szCs w:val="28"/>
                                    <w:u w:val="single"/>
                                  </w:rPr>
                                  <w:t>及配套采购.doc</w:t>
                                </w:r>
                              </w:hyperlink>
                            </w:p>
                          </w:tc>
                        </w:tr>
                        <w:tr w:rsidR="004F1CC4" w:rsidRPr="004F1CC4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1CC4" w:rsidRPr="004F1CC4" w:rsidRDefault="004F1CC4" w:rsidP="004F1CC4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F1CC4" w:rsidRPr="004F1CC4">
                          <w:tc>
                            <w:tcPr>
                              <w:tcW w:w="0" w:type="auto"/>
                              <w:shd w:val="clear" w:color="auto" w:fill="F6F9FE"/>
                              <w:vAlign w:val="center"/>
                              <w:hideMark/>
                            </w:tcPr>
                            <w:p w:rsidR="004F1CC4" w:rsidRPr="004F1CC4" w:rsidRDefault="004F1CC4" w:rsidP="004F1CC4">
                              <w:pPr>
                                <w:widowControl/>
                                <w:jc w:val="lef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F1CC4" w:rsidRPr="004F1CC4" w:rsidRDefault="004F1CC4" w:rsidP="004F1CC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F1CC4" w:rsidRPr="004F1CC4" w:rsidRDefault="004F1CC4" w:rsidP="004F1C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1CC4" w:rsidRPr="004F1CC4" w:rsidRDefault="004F1CC4" w:rsidP="004F1C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F1CC4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4F1CC4" w:rsidRPr="004F1CC4">
              <w:tc>
                <w:tcPr>
                  <w:tcW w:w="0" w:type="auto"/>
                  <w:vAlign w:val="center"/>
                  <w:hideMark/>
                </w:tcPr>
                <w:p w:rsidR="004F1CC4" w:rsidRPr="004F1CC4" w:rsidRDefault="004F1CC4" w:rsidP="004F1CC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1CC4" w:rsidRPr="004F1CC4" w:rsidRDefault="004F1CC4" w:rsidP="004F1CC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1CC4" w:rsidRPr="004F1CC4" w:rsidRDefault="004F1CC4" w:rsidP="004F1CC4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4F1CC4" w:rsidRPr="004F1CC4" w:rsidRDefault="004F1CC4" w:rsidP="004F1CC4">
            <w:pPr>
              <w:widowControl/>
              <w:jc w:val="left"/>
              <w:rPr>
                <w:rFonts w:ascii="微软雅黑" w:eastAsia="微软雅黑" w:hAnsi="微软雅黑" w:cs="宋体"/>
                <w:color w:val="212121"/>
                <w:kern w:val="0"/>
                <w:szCs w:val="21"/>
              </w:rPr>
            </w:pPr>
          </w:p>
        </w:tc>
      </w:tr>
    </w:tbl>
    <w:p w:rsidR="005A11CD" w:rsidRPr="004F1CC4" w:rsidRDefault="005A11CD"/>
    <w:sectPr w:rsidR="005A11CD" w:rsidRPr="004F1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14"/>
    <w:rsid w:val="004F1CC4"/>
    <w:rsid w:val="005A11CD"/>
    <w:rsid w:val="00D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CA1A8-D498-4A67-BD71-9FA94AD9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2025-04-14T04:11:00Z</dcterms:created>
  <dcterms:modified xsi:type="dcterms:W3CDTF">2025-04-14T04:18:00Z</dcterms:modified>
</cp:coreProperties>
</file>